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VB.2020.00607 vom 22. Juli 2021</w:t>
      </w:r>
    </w:p>
    <w:p>
      <w:r>
        <w:t>ZH Verwaltungsgericht, 2021-07-22, DE</w:t>
      </w:r>
    </w:p>
    <w:p>
      <w:r>
        <w:rPr>
          <w:b/>
        </w:rPr>
        <w:t xml:space="preserve">Quelle: </w:t>
      </w:r>
      <w:r>
        <w:t>https://mcp.opencaselaw.ch/entscheid/zh_verwaltungsgericht__VB.2020.00607</w:t>
      </w:r>
    </w:p>
    <w:p>
      <w:r>
        <w:t>FR: ZH_VERWALTUNGSGERICHT VB.2020.00607 du 22 juillet 2021</w:t>
      </w:r>
    </w:p>
    <w:p>
      <w:r>
        <w:t>IT: ZH_VERWALTUNGSGERICHT VB.2020.00607 del 22 luglio 2021</w:t>
      </w:r>
    </w:p>
    <w:p>
      <w:pPr>
        <w:pStyle w:val="Heading2"/>
      </w:pPr>
      <w:r>
        <w:t>Regeste</w:t>
      </w:r>
    </w:p>
    <w:p>
      <w:r>
        <w:t>Rechtsschutzgesuch | [Der Beschwerdeführer steht als Polizist in einem Anstellungsverhältnis mit der Stadt Zürich. Diese gewährte ihm in seiner Rolle als Anzeiger eines Strafdelikts Rechtsschutz bzw. Kostenersatz für ein erstinstanzliches Verfahren. In der Folge ersuchte der Beschwerdeführer erfolglos um weiteren Rechtsschutz bzw. Übernahme weiterer Kosten, da der mit der Strafuntersuchung beauftragte Staatsanwalt beabsichtige, das Strafverfahren einzustellen.] Die Praxis der Beschwerdegegnerin, wonach Rechtsschutz gemäss städtischem Personalrecht nur für das erstinstanzliche Verfahren gewährt wird, es sei denn, eine Angestellte oder ein Angestellter werde ohne eigenes Zutun nach dem Vorliegen eines erstinstanzlichen Entscheids in ein zweitinstanzliches Verfahren involviert, ist nicht zu beanstanden (E. 3.3 ff.). Abweisung.</w:t>
      </w:r>
    </w:p>
    <w:p>
      <w:pPr>
        <w:pStyle w:val="Heading2"/>
      </w:pPr>
      <w:r>
        <w:t>Erwägungen</w:t>
      </w:r>
    </w:p>
    <w:p>
      <w:r>
        <w:rPr>
          <w:b/>
        </w:rPr>
        <w:t>E. 4</w:t>
      </w:r>
    </w:p>
    <w:p>
      <w:r>
        <w:t>Nach dem Gesagten ist die Beschwerde abzuweisen.</w:t>
      </w:r>
    </w:p>
    <w:p>
      <w:r>
        <w:rPr>
          <w:b/>
        </w:rPr>
        <w:t>E. 5</w:t>
      </w:r>
    </w:p>
    <w:p>
      <w:r>
        <w:t>Gemäss § 65a Abs. 3 VRG geniessen die Parteien in personalrechtlichen Angelegenheiten mit einem Streitwert bis Fr. 30'000.- Unentgeltlichkeit, sofern sie wie hier keinen unangemessenen Aufwand verursacht haben (vgl. Kaspar Plüss, Kommentar VRG, § 65a N. 39 in Verbindung mit § 13 N. 88). Fehlt ein Streitwert, werden nur Kosten erhoben, wenn es sich um eine Streitigkeit von grosser Tragweite handelt (Plüss, § 65a N. 29 f.; vgl. VGr, 9. Januar 2019, VB.2018.00458, E. 5.1 mit Hinweis). Dies ist hier nicht der Fall. Demnach sind die Kosten auf die Gerichtskasse zu nehmen. Der unterliegende Beschwerdeführer hat keinen Anspruch auf eine Parteientschädigung. Die Beschwerdegegnerin beantragt ebenfalls eine Parteientschädigung. Das Gemeinwesen besitzt praxisgemäss in der vorliegenden Konstellation grundsätzlich keinen Anspruch auf eine Parteientschädigung. Die Prozessführung verursachte sodann keinen besonderen Aufwand, der vorliegend ein Abweichen von diesem Grundsatz rechtfertigte. Der Beschwerdegegnerin ist keine Parteientschädigung zuzusprechen (§ 17 Abs. 2 VRG).</w:t>
      </w:r>
    </w:p>
    <w:p>
      <w:r>
        <w:rPr>
          <w:b/>
        </w:rPr>
        <w:t>E. 6</w:t>
      </w:r>
    </w:p>
    <w:p>
      <w:r>
        <w:t>Gemäss Art. 83 lit. g des Bundesgerichtsgesetzes vom 17. Juni 2005 (BGG, SR 173.110) ist die Beschwerde in öffentlich-rechtlichen Angelegenheiten auf dem Gebiet öffentlich-rechtlicher Arbeitsverhältnisse ausgeschlossen, wenn sie eine nicht vermögensrechtliche Angelegenheit, nicht aber die Gleichstellung der Geschlechter betrifft. Bei vermögensrechtlichen Streitigkeiten muss der Streitwert mehr als Fr. 15'000.- betragen, oder es muss sich eine Rechtsfrage von grundsätzlicher Bedeutung stellen (Art. 85 Abs. 1 lit. b und Abs. 2 BGG). Vorliegend fehlt ein bezifferbarer Streitwert (vorne 1.2). Wäre die Beschwerde in öffentlich-rechtlichen Angelegenheiten nicht zulässig, stünde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