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VB.2020.00600 vom 3. Dezember 2020</w:t>
      </w:r>
    </w:p>
    <w:p>
      <w:r>
        <w:t>ZH Verwaltungsgericht, 2020-12-03, DE</w:t>
      </w:r>
    </w:p>
    <w:p>
      <w:r>
        <w:rPr>
          <w:b/>
        </w:rPr>
        <w:t xml:space="preserve">Quelle: </w:t>
      </w:r>
      <w:r>
        <w:t>https://mcp.opencaselaw.ch/entscheid/zh_verwaltungsgericht__VB.2020.00600</w:t>
      </w:r>
    </w:p>
    <w:p>
      <w:r>
        <w:t>FR: ZH_VERWALTUNGSGERICHT VB.2020.00600 du 3 décembre 2020</w:t>
      </w:r>
    </w:p>
    <w:p>
      <w:r>
        <w:t>IT: ZH_VERWALTUNGSGERICHT VB.2020.00600 del 3 dicembre 2020</w:t>
      </w:r>
    </w:p>
    <w:p>
      <w:pPr>
        <w:pStyle w:val="Heading2"/>
      </w:pPr>
      <w:r>
        <w:t>Regeste</w:t>
      </w:r>
    </w:p>
    <w:p>
      <w:r>
        <w:t>Verweigerung oder Verzögerung des Einbürgerungsentscheids | [Ordentliche Einbürgerung (Rechtsverweigerung/Rechtsverzögerung)] Vorliegend erwies sich eine Sistierung des (kantonalen) Einbürgerungsverfahrens während der Dauer eines hängigen Strafverfahrens als sachlich gerechtfertigt. Es liegt keine Rechtsverzögerung oder Rechtsverweigerung vor (E. 2). Abweisung.</w:t>
      </w:r>
    </w:p>
    <w:p>
      <w:pPr>
        <w:pStyle w:val="Heading2"/>
      </w:pPr>
      <w:r>
        <w:t>Erwägungen</w:t>
      </w:r>
    </w:p>
    <w:p>
      <w:r>
        <w:rPr>
          <w:b/>
        </w:rPr>
        <w:t>E. 4</w:t>
      </w:r>
    </w:p>
    <w:p>
      <w:r>
        <w:t>Ausgangsgemäss sind die Gerichtskosten dem Beschwerdeführer aufzuerlegen (§ 65a Abs. 2 in Verbindung mit § 13 Abs. 2 Satz 1 VRG) und ist ihm eine Parteientschädigung zu versagen (§ 17 Abs. 2).</w:t>
      </w:r>
    </w:p>
    <w:p>
      <w:r>
        <w:rPr>
          <w:b/>
        </w:rPr>
        <w:t>E. 5</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