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VB.2020.00566 vom 19. Oktober 2020</w:t>
      </w:r>
    </w:p>
    <w:p>
      <w:r>
        <w:t>ZH Verwaltungsgericht, 2020-10-19, DE</w:t>
      </w:r>
    </w:p>
    <w:p>
      <w:r>
        <w:rPr>
          <w:b/>
        </w:rPr>
        <w:t xml:space="preserve">Quelle: </w:t>
      </w:r>
      <w:r>
        <w:t>https://mcp.opencaselaw.ch/entscheid/zh_verwaltungsgericht__VB.2020.00566</w:t>
      </w:r>
    </w:p>
    <w:p>
      <w:r>
        <w:t>FR: ZH_VERWALTUNGSGERICHT VB.2020.00566 du 19 octobre 2020</w:t>
      </w:r>
    </w:p>
    <w:p>
      <w:r>
        <w:t>IT: ZH_VERWALTUNGSGERICHT VB.2020.00566 del 19 ottobre 2020</w:t>
      </w:r>
    </w:p>
    <w:p>
      <w:pPr>
        <w:pStyle w:val="Heading2"/>
      </w:pPr>
      <w:r>
        <w:t>Regeste</w:t>
      </w:r>
    </w:p>
    <w:p>
      <w:r>
        <w:t>Kündigung (Nichteintreten/Überweisung) | [Kündigung durch die Geschäftsleitung einer Anstalt, Neubeurteilung] Offengelassen, ob das Verfahren der Neubeurteilung nach § 170 GG auch bei interkommunalen Anstalten Anwendung findet. Die Neubeurteilung greift nur, wenn eine Entscheidungskompetenz delegiert wurde. Hier ist die Geschäftsleitung und nicht der Verwaltungsrat für die Kündigung originär zuständig, weshalb eine Neubeurteilung durch den Verwaltungsrat nicht in Betracht kommt. Die Vorinstanz hat ihre Zuständigkeit deshalb zu Unrecht verneint (E. 3.3). Gutheissung und Rückweisung an den Bezirksrat zur materiellen Behandlung.</w:t>
      </w:r>
    </w:p>
    <w:p>
      <w:pPr>
        <w:pStyle w:val="Heading2"/>
      </w:pPr>
      <w:r>
        <w:t>Erwägungen</w:t>
      </w:r>
    </w:p>
    <w:p>
      <w:r>
        <w:rPr>
          <w:b/>
        </w:rPr>
        <w:t>E. 4</w:t>
      </w:r>
    </w:p>
    <w:p>
      <w:r>
        <w:t>Der Streitwert beträgt weniger als Fr. 30'000.- (vgl. E. 1.4), weshalb die Gerichtskosten auf die Gerichtskasse zu nehmen sind (§ 65a Abs. 3 VRG).</w:t>
      </w:r>
    </w:p>
    <w:p>
      <w:r>
        <w:rPr>
          <w:b/>
        </w:rPr>
        <w:t>E. 5</w:t>
      </w:r>
    </w:p>
    <w:p>
      <w:r>
        <w:t>Beim vorliegenden Urteil handelt es sich um einen Zwischenentscheid über die Zuständigkeit, gegen den nach Art. 92 Abs. 1 BGG die Beschwerde zulässig ist; eine spätere Anfechtung mit dem Endentscheid ist nicht mehr zulässig (Art. 92 Abs. 2 BGG). Weil der Streitwert weniger als Fr. 15'000.- beträgt (vgl. E. 1.4), ist die Beschwerde in öffentlich-rechtlichen Angelegenheiten an das Bundesgericht nur zulässig, wenn sich eine Rechtsfrage von grundsätzlicher Bedeutung stellt (Art. 85 Abs. 1 lit. b in Verbindung mit Abs. 2 BGG).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