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VB.2020.00560 vom 1. Oktober 2020</w:t>
      </w:r>
    </w:p>
    <w:p>
      <w:r>
        <w:t>ZH Verwaltungsgericht, 2020-10-01, DE</w:t>
      </w:r>
    </w:p>
    <w:p>
      <w:r>
        <w:rPr>
          <w:b/>
        </w:rPr>
        <w:t xml:space="preserve">Quelle: </w:t>
      </w:r>
      <w:r>
        <w:t>https://mcp.opencaselaw.ch/entscheid/zh_verwaltungsgericht__VB.2020.00560</w:t>
      </w:r>
    </w:p>
    <w:p>
      <w:r>
        <w:t>FR: ZH_VERWALTUNGSGERICHT VB.2020.00560 du 1 octobre 2020</w:t>
      </w:r>
    </w:p>
    <w:p>
      <w:r>
        <w:t>IT: ZH_VERWALTUNGSGERICHT VB.2020.00560 del 1 ottobre 2020</w:t>
      </w:r>
    </w:p>
    <w:p>
      <w:pPr>
        <w:pStyle w:val="Heading2"/>
      </w:pPr>
      <w:r>
        <w:t>Regeste</w:t>
      </w:r>
    </w:p>
    <w:p>
      <w:r>
        <w:t>Erteilung Aufenthaltsbewilligung | Kautionssäumnis. Auf die Beschwerde ist androhnungsgemäss nicht einzutreten, nachdem der Beschwerdeführer mangels bewilligungsfähigen Gesuchs um unentgeltliche Rechtspflege und seiner Schulden beim Zentralen Inkasso der Zürcher Gerichte kautioniert wurde und den ihm auferlegten Prozesskostenvorschuss nicht fristgerecht geleistet hatte. Nichteintreten.</w:t>
      </w:r>
    </w:p>
    <w:p>
      <w:pPr>
        <w:pStyle w:val="Heading2"/>
      </w:pPr>
      <w:r>
        <w:t>Erwägungen</w:t>
      </w:r>
    </w:p>
    <w:p>
      <w:r>
        <w:rPr>
          <w:b/>
        </w:rPr>
        <w:t>E. 2</w:t>
      </w:r>
    </w:p>
    <w:p>
      <w:r>
        <w:t>Bei diesem Verfahrensausgang sind die reduzierten Gerichtskosten dem Beschwerdeführer aufzuerlegen (§ 13 Abs. 2 in Verbindung mit § 65a Abs. 2 VRG und § 4 Abs. 2 der Gebührenverordnung des Verwaltungsgerichts vom 3. Juli 2018 [GebV VGr]) und steht ihm keine Parteientschädigung zu (§ 17 Abs. 2 VRG).</w:t>
      </w:r>
    </w:p>
    <w:p>
      <w:r>
        <w:rPr>
          <w:b/>
        </w:rPr>
        <w:t>E. 3</w:t>
      </w:r>
    </w:p>
    <w:p>
      <w:r>
        <w:t>Der Vernehmlassungsverzicht der Sicherheitsdirektion ist dem Beschwerdeführer zur Kenntnisnahme mit vorliegendem Endentscheid zuzustellen.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