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VB.2020.00505 vom 26. August 2020</w:t>
      </w:r>
    </w:p>
    <w:p>
      <w:r>
        <w:t>ZH Verwaltungsgericht, 2020-08-26, DE</w:t>
      </w:r>
    </w:p>
    <w:p>
      <w:r>
        <w:rPr>
          <w:b/>
        </w:rPr>
        <w:t xml:space="preserve">Quelle: </w:t>
      </w:r>
      <w:r>
        <w:t>https://mcp.opencaselaw.ch/entscheid/zh_verwaltungsgericht__VB.2020.00505</w:t>
      </w:r>
    </w:p>
    <w:p>
      <w:r>
        <w:t>FR: ZH_VERWALTUNGSGERICHT VB.2020.00505 du 26 août 2020</w:t>
      </w:r>
    </w:p>
    <w:p>
      <w:r>
        <w:t>IT: ZH_VERWALTUNGSGERICHT VB.2020.00505 del 26 agosto 2020</w:t>
      </w:r>
    </w:p>
    <w:p>
      <w:pPr>
        <w:pStyle w:val="Heading2"/>
      </w:pPr>
      <w:r>
        <w:t>Regeste</w:t>
      </w:r>
    </w:p>
    <w:p>
      <w:r>
        <w:t>Massnahmen nach Gewaltschutzgesetz GS200086 | Örtliche Zuständigkeit der Polizei. Im Gegensatz zur örtlichen Zuständigkeit des für die gerichtliche Beurteilung sowie die Verlängerung, Änderung und Aufhebung von Schutzmassnahmen berufenen Gerichts in § 8 GSG regelt das Gewaltschutzgesetz nicht näher, für welche Fälle von häuslicher Gewalt oder Stalking die erstanordnende Polizei nach § 3 GSG zuständig ist, wenn es – wie hier – um Verhältnisse mit interkantonalem Bezug geht. Mit Blick darauf, dass kantonales Recht grundsätzlich nur Anwendung im jeweiligen Kanton finden kann und auch nur die eigenen kantonalen Verwaltungs- und Justizbehörden mit entsprechenden Aufgaben zu betrauen vermag, bedarf es für eine Intervention der zürcherischen Polizeibehörden in Anwendung von § 3 GSG naturgemäss ebenfalls eines hinreichenden innerkantonalen Anknüpfungspunkts. Unter Berücksichtigung der vom Gesetzgeber in § 8 Abs. 2 GSG vorgesehenen örtlichen Zuständigkeit der den Polizeibehörden nachgelagerten (Haft-)Gerichte lässt sich im systematischen Zusammenhang darauf schliessen, dass auch die zürcherischen Polizeiorgane grundsätzlich nur dann zur Anordnung von Schutzmassnahmen gemäss § 3 GSG befugt sind, wenn der bzw. ein Ort der Begehung (sei es der Handlungs- oder der Erfolgsort) der häuslichen Gewalt im Kanton Zürich liegt (E. 2.3.1). Lässt sich ein Begehungsort in Zürich nicht zweifelsfrei nachweisen, sind alle übrigen Voraussetzungen für die Anordnung einer Schutzmassnahme gegeben und lassen die bisherigen Handlungen der gefährdenden Person auf ein hohes Risiko einer ernsthaften Gefährdung der ansprechenden Person in hochwertigen Rechtsgütern schliessen, muss es für die Begründung der Zuständigkeit für die Anordnung polizeilicher Schutzmassnahmen gestützt auf § 3 GSG ausnahmsweise genügen, wenn anderweitige enge Anknüpfungspunkte zum Kanton Zürich dargetan sind, was etwa dann der Fall sein kann, wenn eine im Kanton Zürich wohnhafte Person um Schutzmassnahmen mit Wirkung für einen innerkantonalen Perimeter ersucht (E.2.3.2). Abweisung.</w:t>
      </w:r>
    </w:p>
    <w:p>
      <w:pPr>
        <w:pStyle w:val="Heading2"/>
      </w:pPr>
      <w:r>
        <w:t>Erwägungen</w:t>
      </w:r>
    </w:p>
    <w:p>
      <w:r>
        <w:rPr>
          <w:b/>
        </w:rPr>
        <w:t>E. 3</w:t>
      </w:r>
    </w:p>
    <w:p>
      <w:r>
        <w:t>Die Gerichtskosten sind aus Gründen der Billigkeit auf die Gerichtskasse zu nehmen (§ 65a Abs. 2 in Verbindung mit § 13 Abs. 2 VRG; Kaspar Plüss in: Alain Griffel [Hrsg.], Kommentar zum Verwaltungsrechtspflegegesetz des Kantons Zürich [VRG], 3. A., Zürich etc. 2014 [Kommentar VRG], § 13 N. 63).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