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VB.2020.00465 vom 11. November 2020</w:t>
      </w:r>
    </w:p>
    <w:p>
      <w:r>
        <w:t>ZH Verwaltungsgericht, 2020-11-11, DE</w:t>
      </w:r>
    </w:p>
    <w:p>
      <w:r>
        <w:rPr>
          <w:b/>
        </w:rPr>
        <w:t xml:space="preserve">Quelle: </w:t>
      </w:r>
      <w:r>
        <w:t>https://mcp.opencaselaw.ch/entscheid/zh_verwaltungsgericht__VB.2020.00465</w:t>
      </w:r>
    </w:p>
    <w:p>
      <w:r>
        <w:t>FR: ZH_VERWALTUNGSGERICHT VB.2020.00465 du 11 novembre 2020</w:t>
      </w:r>
    </w:p>
    <w:p>
      <w:r>
        <w:t>IT: ZH_VERWALTUNGSGERICHT VB.2020.00465 del 11 novembre 2020</w:t>
      </w:r>
    </w:p>
    <w:p>
      <w:pPr>
        <w:pStyle w:val="Heading2"/>
      </w:pPr>
      <w:r>
        <w:t>Regeste</w:t>
      </w:r>
    </w:p>
    <w:p>
      <w:r>
        <w:t>Widerruf der Aufenthaltsbewilligung | [Nachehelicher Aufenthalt: Umstritten ist, ob dem Beschwerdeführer aus anderen wichtigen Gründen ein nachehelicher Anspruch auf Verlängerung seiner Aufenthaltsbewilligung zusteht.] Aufgrund der Trennung kann der Beschwerdeführer seinen derzeitigen Aufenthalt weder auf einen ehelichen Aufenthaltsanspruch noch auf das konventions- und verfassungsmässig geschützte Recht auf Familienleben stützen (E. 2.1). Die vom Beschwerdeführer geschilderten ehelichen Probleme (Untreue und Verursachen von Schulden) erreichen die nötige Intensität für einen nachehelichen Härtefall nicht. Ebenso vermag der Umstand, dass er hier eine Arbeitsstelle hat und sich ein soziales Netzwerk aufgebaut hat, keinen nachehelichen Härtefall zu begründen (E. 2.2). Dem Beschwerdeführer war auch nach pflichtgemässem Ermessen keine Aufenthaltsbewilligung zu erteilen (E. 2.3). Abweisung der Beschwerde.</w:t>
      </w:r>
    </w:p>
    <w:p>
      <w:pPr>
        <w:pStyle w:val="Heading2"/>
      </w:pPr>
      <w:r>
        <w:t>Erwägungen</w:t>
      </w:r>
    </w:p>
    <w:p>
      <w:r>
        <w:rPr>
          <w:b/>
        </w:rPr>
        <w:t>E. 2</w:t>
      </w:r>
    </w:p>
    <w:p>
      <w:r>
        <w:t>Abteilung VB.2020.00465 Urteil der 2. Kammer vom 11. November 2020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Widerruf der Aufenthaltsbewilligung, hat sich ergeben: I. A, geboren am …, Staatsangehöriger des Kosovo, heiratete am 29. Dezember 2015 die Schweizer Bürgerin C und reiste am 2. April 2017 in die Schweiz ein. Am 28. Juni 2017 erhielt er im Rahmen des Familiennachzugs eine Aufenthaltsbewilligung, zuletzt befristet bis zum 1. April 2020. Mit Verfügung vom 12. August 2019 widerrief das Migrationsamt die Aufenthaltsbewilligung von A, nachdem die Ehefrau erklärt hatte, dass ihr Ehewille im August 2018 erloschen sei und sie die gemeinsame Wohnung per 1. April 2019 verlassen habe, um mit ihrem neuen Partner zusammenzuleben. II. Den dagegen am 26. September 2019 erhobenen Rekurs wies die Rekursabteilung der Sicherheitsdirektion mit Entscheid vom 2. Juni 2020 ab und setzte A eine Frist zum Verlassen der Schweiz bis am 2. September 2020. III. Mit Beschwerde vom 8. Juli 2020 beantragte A dem Verwaltungsgericht, es sei der Entscheid der Rekursabteilung der Sicherheitsdirektion vom 2. Juni 2020 aufzuheben und seine Aufenthaltsbewilligung zu verlängern. Eventualiter sei die Sache zur Neubeurteilung an die Vorinstanz zurückzuweisen, unter Kosten- und Entschädigungsfolgen. Während die Rekursabteilung der Sicherheitsdirektion auf Vernehmlassung verzichtete, liess sich das Migrationsamt nicht vernehmen. Am 12. August 2020 ersuchte A das Verwaltungsgericht um Gewährung der aufschiebenden Wirkung. Mit Schreiben vom 19. August 2020 wurde ihm bestätigt, dass er aufgrund der Suspensivwirkung der eingereichten Beschwerde an das Verwaltungsgericht während der Hängigkeit des Beschwerdeverfahrens über ein prozedurales Aufenthaltsrecht verfügt.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ausländische Ehegatte einer Schweizer Bürgerin hat Anspruch auf Erteilung und Verlängerung der Aufenthaltsbewilligung, wenn dieser mit ihr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Es ist unbestritten, dass die Ehefrau des Beschwerdeführers ihren Ehewillen im August 2018 verloren hat und per 1. April 2019 aus der ehelichen Wohnung ausgezogen ist. Der Beschwerdeführer kann seinen derzeitigen Aufenthalt deshalb weder auf einen ehelichen Aufenthaltsanspruch noch auf das konventions- und verfassungsmässig geschützte Recht auf Familienleben stützen.</w:t>
      </w:r>
    </w:p>
    <w:p>
      <w:r>
        <w:rPr>
          <w:b/>
        </w:rPr>
        <w:t>E. 2.2.1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Ebenso im Ermessen der Bewilligungsbehörden liegt die Zulassung zu einem Aufenthalt ohne Erwerbstätigkeit zu Aus- und Weiterbildungszwecken nach Art. 27 AIG.</w:t>
      </w:r>
    </w:p>
    <w:p>
      <w:r>
        <w:rPr>
          <w:b/>
        </w:rPr>
        <w:t>E. 2.2.2</w:t>
      </w:r>
    </w:p>
    <w:p>
      <w:r>
        <w:t>Im Übrigen gilt es, bei der Beurteilung der wichtigen persönlichen Gründe nach Art. 50 Abs. 1 lit. b und Abs. 2 AIG sämtliche Aspekte des Einzelfalls mitzuberücksichtigen, wozu auch die Umstände, die zur Auflösung der Gemeinschaft geführt haben, gehören.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(BGE 138 II 229 E. 3.1, mit Hinweisen, unter anderem auf BGE 137 II 345 E. 3.2.1, 3.2.3). Insgesamt ist eine Gesamtbetrachtung vorzunehmen (BGE 138 II 229 E. 3.2.1 f. mit zahlreichen Hinweisen; BGr, 11. April 2019, 2C_133/2019, E. 3.2).</w:t>
      </w:r>
    </w:p>
    <w:p>
      <w:r>
        <w:rPr>
          <w:b/>
        </w:rPr>
        <w:t>E. 2.2.3</w:t>
      </w:r>
    </w:p>
    <w:p>
      <w:r>
        <w:t>Der Beschwerdeführer macht geltend, es gebe neben ehelicher Gewalt und gefährdeter Wiedereingliederung im Heimatland auch andere wichtige persönliche Gründe für einen weiteren Aufenthalt. Es habe schwerwiegende eheliche Verfehlungen gegeben. Seine Ehefrau habe das Scheitern der Ehe verschuldet, indem sie eine aussereheliche Beziehung eingegangen sei, aus welcher ein Kind hervorgegangen sei. Ausserdem habe sie ihm Schulden aufgebürdet. Sie habe eine Schönheitsoperation in … durchführen lassen und ihn dafür haftbar gemacht. Er habe seine Heimat wegen seiner Ehefrau verlassen und die Brücken weitgehend abgebrochen. Eine Rückkehr in den Kosovo sei für ihn zusätzlich mit einer Härte verbunden, da er eine Anstellung bei der E GmbH habe und ein soziales Netz aufgebaut habe. Die Vorinstanz habe die schwerwiegenden ehelichen Verfehlungen bei ihrem Entscheid nicht berücksichtigt.</w:t>
      </w:r>
    </w:p>
    <w:p>
      <w:r>
        <w:rPr>
          <w:b/>
        </w:rPr>
        <w:t>E. 2.2.4</w:t>
      </w:r>
    </w:p>
    <w:p>
      <w:r>
        <w:t>Der Beschwerdeführer beruft sich erstmals vor Verwaltungsgericht auf einen (nachehelichen) Härtefall aus anderen wichtigen Gründen. Seine Rüge, die Vorinstanz habe die ehelichen Probleme in ihrem Entscheid nicht berücksichtigt, verläuft deshalb ins Leere. Im Sinn der genannten Bestimmungen kann sich ein nachehelicher Härtefall auch dann ergeben, wenn aufgrund der Gesamtumstände davon ausgegangen werden muss, dass eine Aufenthaltsbeendigung erhebliche Konsequenzen für das Privat- und Familienleben des Beschwerdeführers hätte. Solche Umstände sind vorliegend nicht ersichtlich: Es mag zutreffen, dass die aussereheliche Beziehung der Ehefrau ursächlich für die Trennung der Ehegatten gewesen war und seine Ehefrau ihn mit Schulden belastet hat. Nicht jede unglückliche, belastende und nicht den eigenen Vorstellungen entsprechende Entwicklung einer Beziehung ist jedoch zur Begründung eines nachehelichen Härtefalls und eines weiteren Anwesenheitsrechts in der Schweiz geeignet (BGE 138 II 229 E. 3.2.2). Die vom Beschwerdeführer geschilderten ehelichen Probleme erreichen die nötige Intensität für einen nachehelichen Härtefall nicht. Ebenso vermag der Umstand, dass er hier eine Arbeitsstelle hat und sich ein soziales Netzwerk aufgebaut hat, keinen nachehelichen Härtefall zu begründen, trifft dies doch auf die meisten hier lebenden Ausländerinnen und Ausländer zu. Der 28-jährige Beschwerdeführer ist erst vor drei Jahren in die Schweiz gekommen. Soweit aus den Akten ersichtlich ist, geht seine sprachliche, soziale und wirtschaftliche Integration nicht über übliche Integrationserwartungen hinaus. Der Beschwerdeführer ist mit der Sprache und den Gepflogenheiten seines Heimatlandes zweifellos bestens vertraut. Eine Rückkehr erscheint dem Beschwerdeführer nach dieser kurzen Zeit ohne Weiteres zumutbar.</w:t>
      </w:r>
    </w:p>
    <w:p>
      <w:r>
        <w:rPr>
          <w:b/>
        </w:rPr>
        <w:t>E. 2.3</w:t>
      </w:r>
    </w:p>
    <w:p>
      <w:r>
        <w:t>Ausserhalb des Anspruchsbereichs entscheiden die kantonalen Migrationsbehörden nach pflichtgemässem Ermessen über die Erteilung einer Aufenthaltsbewilligung.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Es finden sich vorliegend keine Hinweise darauf, dass das Migrationsamt sein Ermessen in qualifizierter Form unrichtig ausgeübt hätte und sich dabei insbesondere von sachfremden Motiven hätte leiten lassen. Dies führt zur Abweisung der Beschwerde.</w:t>
      </w:r>
    </w:p>
    <w:p>
      <w:r>
        <w:rPr>
          <w:b/>
        </w:rPr>
        <w:t>E. 3</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