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VB.2020.00405 vom 10. Juni 2020</w:t>
      </w:r>
    </w:p>
    <w:p>
      <w:r>
        <w:t>ZH Verwaltungsgericht, 2020-06-10, DE</w:t>
      </w:r>
    </w:p>
    <w:p>
      <w:r>
        <w:rPr>
          <w:b/>
        </w:rPr>
        <w:t xml:space="preserve">Quelle: </w:t>
      </w:r>
      <w:r>
        <w:t>https://mcp.opencaselaw.ch/entscheid/zh_verwaltungsgericht__VB.2020.00405</w:t>
      </w:r>
    </w:p>
    <w:p>
      <w:r>
        <w:t>FR: ZH_VERWALTUNGSGERICHT VB.2020.00405 du 10 juin 2020</w:t>
      </w:r>
    </w:p>
    <w:p>
      <w:r>
        <w:t>IT: ZH_VERWALTUNGSGERICHT VB.2020.00405 del 10 giugno 2020</w:t>
      </w:r>
    </w:p>
    <w:p>
      <w:pPr>
        <w:pStyle w:val="Heading2"/>
      </w:pPr>
      <w:r>
        <w:t>Regeste</w:t>
      </w:r>
    </w:p>
    <w:p>
      <w:r>
        <w:t>Wahl- und Abstimmungsfreiheit | [Ständeratswahl 2019; Inserat von fünf Regierungsratsmitgliedern. Der Regierungsrat trat auf eine als Stimmrechtsbeschwerde bezeichnete Eingabe der Beschwerdeführenden nicht ein. Dagegen gelangten diese mit Beschwerde ans Bundesgericht, welches das Rechtsmittel teilweise guthiess und "die Sache zur weiteren Behandlung und Neubeurteilung an das Verwaltungsgericht des Kantons Zürich" überwies. Es begründete dies damit, dass der Regierungsrat zwar zu Recht nicht auf die Eingabe eingetreten sei, diese aber an das Verwaltungsgericht hätte weiterleiten müssen.] Zur Beurteilung von Handlungen bzw. Realakten einzelner Regierungsratsmitglieder in kantonalen Wahlen und Abstimmungen ist in erster Instanz stets der Regierungsrat zuständig, sei es als Rekurs- oder als Einspracheinstanz bzw. als wahlleitende Behörde; gegen seinen diesbezüglichen Entscheid kann Beschwerde beim Verwaltungsgericht erhoben werden. Entgegen dem Bundesgericht wäre hier daher erstinstanzlich der Regierungsrat zur Behandlung der vorliegenden Sache zuständig. Allerdings wurde sein Nichteintretensentscheid im konkreten Fall vom Bundesgericht geschützt. Auch hat sich die Staatskanzlei namens des Regierungsrats sowohl gegenüber dem Bundesgericht als auch gegenüber dem Verwaltungsgericht zum materiellen Ergebnis geäussert. Aus diesen Gründen ist die funktionelle Zuständigkeit des Verwaltungsgerichts ausnahmsweise angebracht (zum Ganzen E. 1.2–1.5). Das beanstandete Inserat ist den fünf Regierungsratsmitgliedern in ihrer amtlichen Funktion und nicht in ihrer Eigenschaft als Private zuzurechnen (E. 2.5). Anders als bei Abstimmungen schliesst die Rechtsprechung für Wahlkämpfe behördliche Interventionen in den Prozess der freien Meinungsbildung grundsätzlich aus. Die Intervention der betreffenden Regierungsratsmitglieder in den Wahlkampf war daher rechtswidrig (E. 2.6). Die Wiederholung einer Volkswahl oder Volksabstimmung wird allerdings nur dann angeordnet, wenn Gründe für die Annahme bestehen, dass dieUnregelmässigkeit den Ausgang der Wahl oder Abstimmung mit einer gewissen Wahrscheinlichkeit beeinflusst hat. Hiervon ist vorliegend nicht auszugehen, nachdem der unzulässige Eingriff in den Wahlkampf zwar als von einigem Gewicht, aber noch nicht als schwer einzustufen ist, und das Wahlergebnis deutlich zugunsten Ruedi Nosers ausfiel (zum Ganzen E. 3). Abweisung.</w:t>
      </w:r>
    </w:p>
    <w:p>
      <w:pPr>
        <w:pStyle w:val="Heading2"/>
      </w:pPr>
      <w:r>
        <w:t>Erwägungen</w:t>
      </w:r>
    </w:p>
    <w:p>
      <w:r>
        <w:rPr>
          <w:b/>
        </w:rPr>
        <w:t>E. 4</w:t>
      </w:r>
    </w:p>
    <w:p>
      <w:r>
        <w:t>Gemäss § 65a Abs. 2 in Verbindung mit § 13 Abs. 4 VRG ist das Verfahren in Stimmrechtssachen kostenlos, wenn das Rechtsmittel nicht offensichtlich aussichtslos ist. Infolgedessen sind die Kosten auf die Gerichtskasse zu nehmen. Aufgrund ihres Unterliegens steht den Beschwerdeführenden keine Parteientschädigung zu (§ 17 Abs. 2 VRG). Demgemäss erkennt die Kammer : 1.    Die Beschwerde wird abgewiesen. 2.    Die Gerichtsgebühr wird festgesetzt auf Fr. 2'000.--;    die übrigen Kosten betragen: Fr.      70.-- Zustellkosten, Fr. 2'070.-- Total der Kosten. 3.    Die Gerichtskosten werden auf die Gerichtskasse genommen. 4.    Eine Parteientschädigung wird nicht zugesprochen. 5.    Gegen dieses Urteil kann Beschwerde in öffentlich-rechtlichen Angelegenheiten nach Art. 82 ff. des Bundesgerichtsgesetzes erhoben werden. Sie ist binnen 30 Tagen ab Zustellung einzureichen beim Bundesgericht, 1000 Lausanne 14.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