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VB.2020.00356 vom 18. August 2020</w:t>
      </w:r>
    </w:p>
    <w:p>
      <w:r>
        <w:t>ZH Verwaltungsgericht, 2020-08-18, DE</w:t>
      </w:r>
    </w:p>
    <w:p>
      <w:r>
        <w:rPr>
          <w:b/>
        </w:rPr>
        <w:t xml:space="preserve">Quelle: </w:t>
      </w:r>
      <w:r>
        <w:t>https://mcp.opencaselaw.ch/entscheid/zh_verwaltungsgericht__VB.2020.00356</w:t>
      </w:r>
    </w:p>
    <w:p>
      <w:r>
        <w:t>FR: ZH_VERWALTUNGSGERICHT VB.2020.00356 du 18 août 2020</w:t>
      </w:r>
    </w:p>
    <w:p>
      <w:r>
        <w:t>IT: ZH_VERWALTUNGSGERICHT VB.2020.00356 del 18 agosto 2020</w:t>
      </w:r>
    </w:p>
    <w:p>
      <w:pPr>
        <w:pStyle w:val="Heading2"/>
      </w:pPr>
      <w:r>
        <w:t>Regeste</w:t>
      </w:r>
    </w:p>
    <w:p>
      <w:r>
        <w:t>fehlendes Rechtsdomizil | [Auflösung einer Aktiengesellschaft wegen fehlenden Rechtsdomizils] Die Beschwerdeführenden legen glaubhaft dar, dass sie alle in ihrer Macht stehenden Massnahmen getroffen haben, um sicherzustellen, dass die an die Aktiengesellschaft adressierte Post an ihrem Rechtsdomizil zugestellt werden kann. Da auch keine weiteren Hinweise vorliegen, die Zweifel an der Gültigkeit des im Handelsregister eingetragenen Rechtsdomizils hervorzurufen vermögen, hat der Beschwerdegegner zu Unrecht die Auflösung der Aktiengesellschaft verfügt (E. 2). Gutheissung.</w:t>
      </w:r>
    </w:p>
    <w:p>
      <w:pPr>
        <w:pStyle w:val="Heading2"/>
      </w:pPr>
      <w:r>
        <w:t>Erwägungen</w:t>
      </w:r>
    </w:p>
    <w:p>
      <w:r>
        <w:rPr>
          <w:b/>
        </w:rPr>
        <w:t>E. 4</w:t>
      </w:r>
    </w:p>
    <w:p>
      <w:r>
        <w:t>Ausgangsgemäss sind die Gerichtskosten dem Beschwerdegegner aufzuerlegen (§ 65a Abs. 2 in Verbindung mit § 13 Abs. 2 Satz 1 VRG). Nach § 3 Abs. 1 der Gebührenverordnung des Verwaltungsgerichts vom 3. Juli 2018 (GebV VGr) richtet sich die Gerichtsgebühr bei Verfahren mit bestimmbarem Streitwert nach diesem und beträgt sie bei Verfahren mit einem Streitwert von Fr. 20'000.- bis Fr. 50'000.- in der Regel Fr. 2'200.- bis Fr. 4'400.-. Entsteht bloss geringer Aufwand, kann die Gebühr bis auf die Hälfte herabgesetzt werden (§ 4 Abs. 3 GebV VGr). Vorliegend erscheint die Festsetzung der Gerichtsgebühr auf Fr. 1'500.- gerechtfertigt.</w:t>
      </w:r>
    </w:p>
    <w:p>
      <w:r>
        <w:rPr>
          <w:b/>
        </w:rPr>
        <w:t>E. 5</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Fr. 30'000.-übersteigt (vgl. vorn E. 1.3),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