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VB.2020.00355 vom 12. August 2020</w:t>
      </w:r>
    </w:p>
    <w:p>
      <w:r>
        <w:t>ZH Verwaltungsgericht, 2020-08-12, DE</w:t>
      </w:r>
    </w:p>
    <w:p>
      <w:r>
        <w:rPr>
          <w:b/>
        </w:rPr>
        <w:t xml:space="preserve">Quelle: </w:t>
      </w:r>
      <w:r>
        <w:t>https://mcp.opencaselaw.ch/entscheid/zh_verwaltungsgericht__VB.2020.00355</w:t>
      </w:r>
    </w:p>
    <w:p>
      <w:r>
        <w:t>FR: ZH_VERWALTUNGSGERICHT VB.2020.00355 du 12 août 2020</w:t>
      </w:r>
    </w:p>
    <w:p>
      <w:r>
        <w:t>IT: ZH_VERWALTUNGSGERICHT VB.2020.00355 del 12 agosto 2020</w:t>
      </w:r>
    </w:p>
    <w:p>
      <w:pPr>
        <w:pStyle w:val="Heading2"/>
      </w:pPr>
      <w:r>
        <w:t>Regeste</w:t>
      </w:r>
    </w:p>
    <w:p>
      <w:r>
        <w:t>Niederlassungsbewilligung (Kantonswechsel) | [Kantonswechsel (Wiedererwägung) eines 42-jährigen Serben] Das Migrationsamt wies ein Gesuch um Bewilligung des Kantonswechsels aufgrund des im Kanton Thurgau laufenden Verfahrens betreffend Widerruf der Niederlassungsbewiligung ab; die Verfügung blieb unangefochten. Auf ein erneutes Gesuch trat das Migrationsamt in der Folge nicht ein. Das Verfahren betreffend Widerruf der Niederlassungsbewilligung wurde erst während des verwaltungsgerichtlichen Verfahrens abgeschlossen und der Beschwerdeführer lediglich verwarnt. Das Migrationsamt war demnach zu Recht nicht auf das Wiedererwägungsgesuch eingetreten. Die Abweisung der Beschwerde unter Hinweis darauf, der Beschwerdeführer könne ein erneutes Gesuch um Kantonswechsel einreichen, würde einen prozessualen Leerlauf bedeuten, weshalb die Sache an den Beschwerdegegner zurückzuweisen ist (zum Ganzen E. 3). Teilweise Gutheissung. Rückweisung an das Migrationsamt.</w:t>
      </w:r>
    </w:p>
    <w:p>
      <w:pPr>
        <w:pStyle w:val="Heading2"/>
      </w:pPr>
      <w:r>
        <w:t>Erwägungen</w:t>
      </w:r>
    </w:p>
    <w:p>
      <w:r>
        <w:rPr>
          <w:b/>
        </w:rPr>
        <w:t>E. 4</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Donatsch, § 64 N. 5). Die Kosten des Beschwerdeverfahrens sind deshalb dem Beschwerdegegner aufzuerlegen (§ 65a Abs. 2 in Verbindung mit § 13 Abs. 2 Satz 1 VRG) und ist dieser zudem zu verpflichten, dem Beschwerdeführer eine angemessene Parteientschädigung für das Beschwerdeverfahren zu bezahlen (§ 17 Abs. 2 VRG).</w:t>
      </w:r>
    </w:p>
    <w:p>
      <w:r>
        <w:rPr>
          <w:b/>
        </w:rPr>
        <w:t>E. 5.1</w:t>
      </w:r>
    </w:p>
    <w:p>
      <w:r>
        <w:t>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BGr, 17. Juni 2010, 2C_140/2010, E. 2.3). Somit kann gegen den vorliegenden Entscheid lediglich subsidiäre Verfassungsbeschwerde gemäss Art. 113 ff. BGG erhoben werden.</w:t>
      </w:r>
    </w:p>
    <w:p>
      <w:r>
        <w:rPr>
          <w:b/>
        </w:rPr>
        <w:t>E. 5.2</w:t>
      </w:r>
    </w:p>
    <w:p>
      <w:r>
        <w:t>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