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VB.2020.00346 vom 24. September 2020</w:t>
      </w:r>
    </w:p>
    <w:p>
      <w:r>
        <w:t>ZH Verwaltungsgericht, 2020-09-24, DE</w:t>
      </w:r>
    </w:p>
    <w:p>
      <w:r>
        <w:rPr>
          <w:b/>
        </w:rPr>
        <w:t xml:space="preserve">Quelle: </w:t>
      </w:r>
      <w:r>
        <w:t>https://mcp.opencaselaw.ch/entscheid/zh_verwaltungsgericht__VB.2020.00346</w:t>
      </w:r>
    </w:p>
    <w:p>
      <w:r>
        <w:t>FR: ZH_VERWALTUNGSGERICHT VB.2020.00346 du 24 septembre 2020</w:t>
      </w:r>
    </w:p>
    <w:p>
      <w:r>
        <w:t>IT: ZH_VERWALTUNGSGERICHT VB.2020.00346 del 24 settembre 2020</w:t>
      </w:r>
    </w:p>
    <w:p>
      <w:pPr>
        <w:pStyle w:val="Heading2"/>
      </w:pPr>
      <w:r>
        <w:t>Regeste</w:t>
      </w:r>
    </w:p>
    <w:p>
      <w:r>
        <w:t>Leistungsabrechnung Logopädie (Nichteintreten) | [Anfechtbarkeit einer die Mitwirkungspflicht betreffenden Auflage] Verfahrensleitende Anordnungen wie die hier streitbetroffene Auflage betreffend die Mitwirkungspflicht der Beschwerdeführerin werden in der Regel - und so auch hier - im Rahmen von prozessualen Zwischenverfügungen getroffen (E. 2.4 f.). Die Voraussetzungen zur ausnahmsweisen Zulässigkeit der Anfechtung einer selbständig eröffneten, weder die Zuständigkeit noch den Ausstand betreffenden erstinstanzlichen Zwischenverfügung (§ 19a Abs. 2 VRG i.V.m. Art. 93 Abs. 1 BGG) waren bei der Rekursinstanz nicht erfüllt, weshalb diese zu Recht nicht auf das Rechtsmittel eintrat (E. 3). Abweisung.</w:t>
      </w:r>
    </w:p>
    <w:p>
      <w:pPr>
        <w:pStyle w:val="Heading2"/>
      </w:pPr>
      <w:r>
        <w:t>Erwägungen</w:t>
      </w:r>
    </w:p>
    <w:p>
      <w:r>
        <w:rPr>
          <w:b/>
        </w:rPr>
        <w:t>E. 4</w:t>
      </w:r>
    </w:p>
    <w:p>
      <w:r>
        <w:t>Nach dem Gesagten ist im Ergebnis nicht zu beanstanden, dass die Vorinstanz auf den Rekurs nicht eingetreten ist. Die Beschwerde ist abzuweisen.</w:t>
      </w:r>
    </w:p>
    <w:p>
      <w:r>
        <w:rPr>
          <w:b/>
        </w:rPr>
        <w:t>E. 5</w:t>
      </w:r>
    </w:p>
    <w:p>
      <w:r>
        <w:t>Ausgangsgemäss sind die Kosten der unterliegenden Beschwerdeführerin aufzuerlegen (§ 65a Abs. 2 in Verbindung mit § 13 Abs. 2 Satz 1 VRG); eine Parteientschädigung bleibt ihr verwehrt (§ 17 Abs. 2 VRG).</w:t>
      </w:r>
    </w:p>
    <w:p>
      <w:r>
        <w:rPr>
          <w:b/>
        </w:rPr>
        <w:t>E. 6</w:t>
      </w:r>
    </w:p>
    <w:p>
      <w:r>
        <w:t>Da bereits die streitbetroffene Anordnung des Beschwerdegegners einen Zwischenentscheid darstellt, ist das vorliegende Urteil ebenfalls ein solcher (Bertschi, § 19a N. 32). Das Bundesgericht lässt sich daher im Sinn des Art. 93 BGG nur anrufen, wenn ein nicht wiedergutzumachender Nachteil drohte oder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