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VB.2020.00345 vom 21. Oktober 2020</w:t>
      </w:r>
    </w:p>
    <w:p>
      <w:r>
        <w:t>ZH Verwaltungsgericht, 2020-10-21, DE</w:t>
      </w:r>
    </w:p>
    <w:p>
      <w:r>
        <w:rPr>
          <w:b/>
        </w:rPr>
        <w:t xml:space="preserve">Quelle: </w:t>
      </w:r>
      <w:r>
        <w:t>https://mcp.opencaselaw.ch/entscheid/zh_verwaltungsgericht__VB.2020.00345</w:t>
      </w:r>
    </w:p>
    <w:p>
      <w:r>
        <w:t>FR: ZH_VERWALTUNGSGERICHT VB.2020.00345 du 21 octobre 2020</w:t>
      </w:r>
    </w:p>
    <w:p>
      <w:r>
        <w:t>IT: ZH_VERWALTUNGSGERICHT VB.2020.00345 del 21 ottobre 2020</w:t>
      </w:r>
    </w:p>
    <w:p>
      <w:pPr>
        <w:pStyle w:val="Heading2"/>
      </w:pPr>
      <w:r>
        <w:t>Regeste</w:t>
      </w:r>
    </w:p>
    <w:p>
      <w:r>
        <w:t>Aufenthaltsbewilligung | [Nichtverlängerung der Aufenthaltsbewilligung einer chinesischen Staatsangehörigen, die mit ihrem Schweizer Ex-Ehegatten ein Schweizer Kind hat, wegen Sozialhilfeabhängigkeit] Vorliegend ist der Widerrufsgrund nach Art. 51 Abs. 1 lit. b AIG in Verbindung mit Art. 63 Abs. 1 lit. c AIG erfüllt (E. 2.2 f.). Indessen erweist sich die Nichtverlängerung als unverhältnismässig: Die Ausreise der Mutter hätte auch die Ausreise der 8,5-jährigen Tochter zur Folge, da seit mehreren Jahren nur selten Kontakt zwischen dem Vater und der Tochter besteht. Verwarnung der Beschwerdeführerin (E. 2.5 und E. 3 Abs. 2). Gutheissung.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Ausgangsgemäss sind die Kosten des Rekurs- und des Beschwerdeverfahrens dem Beschwerdegegner aufzuerlegen (§ 13 Abs. 2 Satz 1 teilweise in Verbindung mit § 65a Abs. 2 VRG). Desgleichen hat dieser antragsgemäss eine angemessene Parteientschädigung für das Rekurs- und das Beschwerdeverfahren zu bezahlen (§ 17 Abs. 2 lit. a VRG).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