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VB.2020.00343 vom 3. Dezember 2020</w:t>
      </w:r>
    </w:p>
    <w:p>
      <w:r>
        <w:t>ZH Verwaltungsgericht, 2020-12-03, DE</w:t>
      </w:r>
    </w:p>
    <w:p>
      <w:r>
        <w:rPr>
          <w:b/>
        </w:rPr>
        <w:t xml:space="preserve">Quelle: </w:t>
      </w:r>
      <w:r>
        <w:t>https://mcp.opencaselaw.ch/entscheid/zh_verwaltungsgericht__VB.2020.00343</w:t>
      </w:r>
    </w:p>
    <w:p>
      <w:r>
        <w:t>FR: ZH_VERWALTUNGSGERICHT VB.2020.00343 du 3 décembre 2020</w:t>
      </w:r>
    </w:p>
    <w:p>
      <w:r>
        <w:t>IT: ZH_VERWALTUNGSGERICHT VB.2020.00343 del 3 dicembre 2020</w:t>
      </w:r>
    </w:p>
    <w:p>
      <w:pPr>
        <w:pStyle w:val="Heading2"/>
      </w:pPr>
      <w:r>
        <w:t>Regeste</w:t>
      </w:r>
    </w:p>
    <w:p>
      <w:r>
        <w:t>Widerruf der Niederlassungsbewilligung (Rückstufung) | Eine Person, die im Sinn von Art. 63 Abs. 1 lit. c AIG (selber) dauerhaft und erheblich auf Sozialhilfe angewiesen ist, erfüllt regelmässig auch das Integrationskriterium von Art. 58a Abs. 1 lit. d AIG der Teilnahme am Wirtschaftsleben oder am Erwerb von Bildung nicht; ist dies der Fall, kann die Niederlassungsbewilligung der betroffenen ausländischen Person gestützt auf – den per 1. Januar 2019 in Kraft gesetzten – Art. 63 Abs. 2 AIG widerrufen und durch eine Aufenthaltsbewilligung ersetzt werden (E. 2.1). Sowohl der Widerruf der Niederlassungsbewilligung nach Art. 63 Abs. 1 AIG wie auch die Rückstufung nach Art. 63 Abs. 2 AIG verlangen nach einer sorgfältigen Verhältnismässigkeitsprüfung (E. 2.2, auch zum Folgenden). Aus Gründen der Verhältnismässigkeit hat dabei auch einer Rückstufung in aller Regel zunächst eine ausländerrechtliche Verwarnung oder zumindest eine einschlägige Ermahnung zur Verhaltensänderung voranzugehen. Dies hat in besonderem Mass bei Personen zu gelten, welche sich bei Inkrafttreten des Art. 63 Abs. 2 AIG bereits weit über 15 Jahre ununterbrochen und ordnungsgemäss in der Schweiz aufgehalten hatten, konnte diesen doch die Niederlassungsbewilligung bis Ende 2018 nicht wegen Sozialhilfebezugs widerrufen werden. Die Beschwerdeführerin erfüllt nicht nur den Widerrufsgrund von Art. 63 Abs. 2 AIG (in Verbindung mit Art. 58a Abs. 1 lit. d AIG), sondern auch den in Art. 63 Abs. 1 lit. c AIG statuierten; sie wurde jedoch vor Anordnung der Rückstufung nie verwarnt oder auch nur ausdrücklich zu einer Verhaltensänderung ermahnt (E. 3.3). Demnach ist die Rückstufung aufzuheben und die Beschwerdeführerin stattdessen nach Art. 96 Abs. 2 AIG zu verwarnen unter der Androhung, dass der Widerruf ihrer Niederlassungsbewilligung unter gleichzeitiger Wegweisung (Art. 63 Abs. 1 lit. c AIG) oder Erteilung einer Aufenthaltsbewilligung (Art. 63 Abs. 2 AIG) geprüft und gegebenenfalls angeordnet wird, wenn sie sich nicht ernsthaft um die Verbesserung ihrerDeutschkenntnisse und eine Stelle im ersten Arbeitsmarkt bemüht (E. 3.4 f.). Teilweise Gutheissung.</w:t>
      </w:r>
    </w:p>
    <w:p>
      <w:pPr>
        <w:pStyle w:val="Heading2"/>
      </w:pPr>
      <w:r>
        <w:t>Erwägungen</w:t>
      </w:r>
    </w:p>
    <w:p>
      <w:r>
        <w:rPr>
          <w:b/>
        </w:rPr>
        <w:t>E. 4</w:t>
      </w:r>
    </w:p>
    <w:p>
      <w:r>
        <w:t>Da die Rückstufung zwar aufgehoben, die Beschwerdeführerin jedoch auch im Hinblick auf eine Wegweisung verwarnt wird, liegt nur ein hälftiges Obsiegen vor. Die Kosten des Rekurs- und des Beschwerdeverfahrens sind daher dem Beschwerdegegner und der Beschwerdeführerin je zur Hälfte aufzuerlegen (§ 65a Abs. 2 in Verbindung mit § 13 Abs. 2 Satz 1 VRG). Mangels überwiegenden Obsiegens steht der Beschwerdeführerin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