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VB.2020.00292 vom 24. September 2020</w:t>
      </w:r>
    </w:p>
    <w:p>
      <w:r>
        <w:t>ZH Verwaltungsgericht, 2020-09-24, DE</w:t>
      </w:r>
    </w:p>
    <w:p>
      <w:r>
        <w:rPr>
          <w:b/>
        </w:rPr>
        <w:t xml:space="preserve">Quelle: </w:t>
      </w:r>
      <w:r>
        <w:t>https://mcp.opencaselaw.ch/entscheid/zh_verwaltungsgericht__VB.2020.00292</w:t>
      </w:r>
    </w:p>
    <w:p>
      <w:r>
        <w:t>FR: ZH_VERWALTUNGSGERICHT VB.2020.00292 du 24 septembre 2020</w:t>
      </w:r>
    </w:p>
    <w:p>
      <w:r>
        <w:t>IT: ZH_VERWALTUNGSGERICHT VB.2020.00292 del 24 settembre 2020</w:t>
      </w:r>
    </w:p>
    <w:p>
      <w:pPr>
        <w:pStyle w:val="Heading2"/>
      </w:pPr>
      <w:r>
        <w:t>Regeste</w:t>
      </w:r>
    </w:p>
    <w:p>
      <w:r>
        <w:t>Aufenthaltsbewilligung | [Der Beschwerdeführerin wurde im Jahr 2012 eine Aufenthaltsbewilligung ohne Erwerbstätigkeit zum Verbleib bei der Tochter und dem pflegebedürftigen Enkelsohn erteilt; nachdem sie seit 2016 auf Sozialhilfe angewiesen war, verweigerte ihr der Beschwerdegegner mit der Ausgangsverfügung die weitere Verlängerung dieser Bewilligung.] Die Beschwerdeführerin macht geltend, ihr erwachse aus dem Recht auf Familienleben ein Anwesenheitsanspruch in der Schweiz, weil ihr schwerstbehinderter Enkel seit seiner Geburt "kontinuierlich" von ihr unterstützt werde und von ihr abhängig sei (E. 2.1). In den Akten finden sich jedoch keinerlei Belege zur aktuellen Betreuungsbedürftigkeit und Betreuungssituation des Enkels der Beschwerdeführerin; auch ergeben sich gewisse Zweifel an den Angaben der Beschwerdeführerin zur Intensität ihrer Beziehung zum Enkel und zu ihren finanziellen Verhältnissen (E. 2.3). Rückweisung der Sache an die Vorinstanz für weitere Sachverhaltsabklärungen und zu neuem Entscheid (E. 2.4 f.). Gutheissung URB/Kürzung der Kostennote. Teilweise Gutheissung der Beschwerde und Rückweisung an die Sicherheitsdirektion.</w:t>
      </w:r>
    </w:p>
    <w:p>
      <w:pPr>
        <w:pStyle w:val="Heading2"/>
      </w:pPr>
      <w:r>
        <w:t>Erwägungen</w:t>
      </w:r>
    </w:p>
    <w:p>
      <w:r>
        <w:rPr>
          <w:b/>
        </w:rPr>
        <w:t>E. 4</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BGG). Werden beide Rechtsmittel ergriffen, hat dies in der gleichen Rechtsschrift zu geschehen (Art. 119 Abs. 1 BGG). Nach der Regelung in Art. 90 ff. BGG sind letztinstanzliche kantonale Rückweisungsentscheide als Zwischenentscheide im Sinn von Art. 93 BGG zu qualifizieren (BGE 138 I 143 E. 1.2, 133 V 477 E. 4.2). Die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