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VB.2020.00254 vom 12. Januar 2016</w:t>
      </w:r>
    </w:p>
    <w:p>
      <w:r>
        <w:t>ZH Verwaltungsgericht, 2016-01-12, DE</w:t>
      </w:r>
    </w:p>
    <w:p>
      <w:r>
        <w:rPr>
          <w:b/>
        </w:rPr>
        <w:t xml:space="preserve">Quelle: </w:t>
      </w:r>
      <w:r>
        <w:t>https://mcp.opencaselaw.ch/entscheid/zh_verwaltungsgericht__VB.2020.00254</w:t>
      </w:r>
    </w:p>
    <w:p>
      <w:r>
        <w:t>FR: ZH_VERWALTUNGSGERICHT VB.2020.00254 du 12 janvier 2016</w:t>
      </w:r>
    </w:p>
    <w:p>
      <w:r>
        <w:t>IT: ZH_VERWALTUNGSGERICHT VB.2020.00254 del 12 gennaio 2016</w:t>
      </w:r>
    </w:p>
    <w:p>
      <w:pPr>
        <w:pStyle w:val="Heading2"/>
      </w:pPr>
      <w:r>
        <w:t>Regeste</w:t>
      </w:r>
    </w:p>
    <w:p>
      <w:r>
        <w:t>Widerruf der Niederlassungsbewilligung | [Widerruf der Niederlassungsbewilligung] Der Beschwerdeführer erfüllt den Widerrufsgrund gemäss Art. 62 Abs. 1 lit. b in Verbindung mit Art. 63 Abs. 1 lit. a AIG (E. 2). Insgesamt ist von einem erheblichen öffentlichen Fernhalteinteresse auszugehen (E. 3.3 ff.). Das private Interesse am Verbleib in der Schweiz gründet primär in der Tatsache, dass seine Schweizer Lebenspartnerin und ihre gemeinsame achtjährige Tochter hier leben. Aus den Akten ergibt sich jedoch nicht hinreichend, wie sich die familiäre Situation des Beschwerdeführers und insbesondere dessen Beziehung zu seiner Tochter gestalten. Die Vorinstanz hat die ihr zukommende Untersuchungspflicht verletzt (E.3.6.2). Rückweisung der Sache an die Vorinstanz für weitere Sachverhaltsabklärungen und zu neuem Entscheid (E. 3.7). Teilweise Gutheissung. Rückweisung an Sicherheitsdirektion.</w:t>
      </w:r>
    </w:p>
    <w:p>
      <w:pPr>
        <w:pStyle w:val="Heading2"/>
      </w:pPr>
      <w:r>
        <w:t>Erwägungen</w:t>
      </w:r>
    </w:p>
    <w:p>
      <w:r>
        <w:rPr>
          <w:b/>
        </w:rPr>
        <w:t>E. 4</w:t>
      </w:r>
    </w:p>
    <w:p>
      <w:r>
        <w:t>Die Rückweisung zur erneuten Entscheidung bei offenem Ausgang ist in Bezug auf die Regelung der Nebenfolgen als Obsiegen zu behandeln, wenn die Rechtsmittelinstanz reformatorisch oder kassatorisch entscheiden kann (BGr, 28. April 2014, 2C_846/2013, E. 3.2 f. mit Hinweisen; Marco Donatsch, in: Alain Griffel [Hrsg.], Kommentar zum Verwaltungsrechtspflegegesetz des Kantons Zürich [VRG], 3. A., Zürich etc. 2014 [Kommentar VRG], § 64 N. 5). Demnach hat der Beschwerdeführer als obsiegend zu gelten und sind die Kosten des Beschwerdeverfahrens dem Beschwerdegegner aufzuerlegen (§ 65a Abs. 2 in Verbindung mit § 13 Abs. 2 Satz 1 VRG). Dieser ist zudem zu verpflichten, dem Beschwerdeführer eine angemessene Parteientschädigung für das Beschwerdeverfahren zu bezahlen (§ 17 Abs. 2 VRG).</w:t>
      </w:r>
    </w:p>
    <w:p>
      <w:r>
        <w:rPr>
          <w:b/>
        </w:rPr>
        <w:t>E. 5.1</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(Art. 83 lit. c Ziff. 2 BGG). Werden beide Rechtsmittel ergriffen, hat dies in der gleichen Rechtsschrift zu geschehen (Art. 119 Abs. 1 BGG).</w:t>
      </w:r>
    </w:p>
    <w:p>
      <w:r>
        <w:rPr>
          <w:b/>
        </w:rPr>
        <w:t>E. 5.2</w:t>
      </w:r>
    </w:p>
    <w:p>
      <w:r>
        <w:t>Nach der Regelung in Art. 90 ff. BGG sind letztinstanzliche kantonale Rückweisungsentscheide als Zwischenentscheide im Sinn von Art. 93 BGG zu qualifizieren (BGE 138 I 143 E. 1.2, 133 V 477 E. 4.2). Die Rückweisung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