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VB.2020.00234 vom 10. September 2020</w:t>
      </w:r>
    </w:p>
    <w:p>
      <w:r>
        <w:t>ZH Verwaltungsgericht, 2020-09-10, DE</w:t>
      </w:r>
    </w:p>
    <w:p>
      <w:r>
        <w:rPr>
          <w:b/>
        </w:rPr>
        <w:t xml:space="preserve">Quelle: </w:t>
      </w:r>
      <w:r>
        <w:t>https://mcp.opencaselaw.ch/entscheid/zh_verwaltungsgericht__VB.2020.00234</w:t>
      </w:r>
    </w:p>
    <w:p>
      <w:r>
        <w:t>FR: ZH_VERWALTUNGSGERICHT VB.2020.00234 du 10 septembre 2020</w:t>
      </w:r>
    </w:p>
    <w:p>
      <w:r>
        <w:t>IT: ZH_VERWALTUNGSGERICHT VB.2020.00234 del 10 settembre 2020</w:t>
      </w:r>
    </w:p>
    <w:p>
      <w:pPr>
        <w:pStyle w:val="Heading2"/>
      </w:pPr>
      <w:r>
        <w:t>Regeste</w:t>
      </w:r>
    </w:p>
    <w:p>
      <w:r>
        <w:t>Entgelt für Nachtarbeit | [Entschädigung für geleistete Nachtarbeit nach erfolgter Kündigung] Gemäss Art. 17b Abs. 2 ArG haben Arbeitnehmer, die dauernd oder regelmässig wiederkehrend Nachtarbeit leisten, Anspruch auf eine Kompensation von zehn Prozent der Zeit, während der sie Nachtarbeit geleistet haben. Solche gesetzliche (Ausgleichs-)Ruhezeiten dürfen nicht durch Geldleistungen oder andere Vergünstigungen abgegolten werden - ausser bei Beendigung des Arbeitsverhältnisses (E. 3.1). Die Vorschriften des Arbeitsgesetzes finden auf die Beschwerdegegnerin grundsätzlich Anwendung. Gemäss Art. 4 ArGV 2 ist sie lediglich von der Bewilligungspflicht der Sonntags- und Nachtarbeit sowie für den ununterbrochenen Betrieb befreit; sie ist jedoch gehalten, ihren Arbeitnehmenden den Zeitzuschlag gemäss Art. 17b Abs. 2 ArG zu gewähren (E. 3.2). Die von der Beschwerdegegnerin behaupteten gleichwertigen Ausgleichsruhezeiten gemäss Art. 17b Abs. 3 ArG blieben unbelegt (E. 3.3). Sowohl in der Lehre als auch in der kantonalen Rechtsprechung wird eine Pflicht des Arbeitgebers zur (finanziellen) Abgeltung von vorgeschriebenen, aber nicht gewährten Ruhezeiten bei Beendigung des Arbeitsverhältnisses bzw. ein entsprechender Anspruch des Arbeitnehmers gestützt auf Art. 22 ArG abgelehnt. Dieser Auffassung ist beizupflichten. Im Übrigen wäre eine nachträgliche Abgeltung vorliegend auch deshalb nicht geschuldet, weil das Vorgehen des Beschwerdeführers rechtsmissbräuchlich ist. Er hat sich erst nach seiner Kündigung an die Beschwerdegegnerin gewandt und von Beginn an nicht die Gewährung der Ausgleichszeit, sondern eine Abgeltung derselben verlangt (E. 3.4). Abweisung.</w:t>
      </w:r>
    </w:p>
    <w:p>
      <w:pPr>
        <w:pStyle w:val="Heading2"/>
      </w:pPr>
      <w:r>
        <w:t>Erwägungen</w:t>
      </w:r>
    </w:p>
    <w:p>
      <w:r>
        <w:rPr>
          <w:b/>
        </w:rPr>
        <w:t>E. 4</w:t>
      </w:r>
    </w:p>
    <w:p>
      <w:r>
        <w:t>Der Streitwert beträgt weniger als Fr. 30'000.- (vgl. E. 1.2), weshalb die Gerichtskosten auf die Gerichtskasse zu nehmen sind (§ 65a Abs. 3 VRG). Der unterliegende Beschwerdeführer hat keinen Anspruch auf eine Parteientschädigung; der Beschwerdegegnerin als öffentlich-rechtliche Anstalt mit ausgebauter eigener Administration ist vorliegend ebenfalls keine Parteientschädigung zuzusprechen (§ 65a Abs. 2 in Verbindung § 17 Abs. 2 VRG; vgl. zur Entschädigung des Gemeinwesens Kaspar Plüss, in Alain Griffel [Hrsg.], Kommentar zum Verwaltungsrechtspflegegesetz des Kantons Zürich [VRG], 3. A., Zürich etc. 2014, § 17 N. 50 ff.).</w:t>
      </w:r>
    </w:p>
    <w:p>
      <w:r>
        <w:rPr>
          <w:b/>
        </w:rPr>
        <w:t>E. 5</w:t>
      </w:r>
    </w:p>
    <w:p>
      <w:r>
        <w:t>Weil der Streitwert weniger als Fr. 15'000.- beträgt (vgl. E.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