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VB.2020.00189 vom 1. März 2019</w:t>
      </w:r>
    </w:p>
    <w:p>
      <w:r>
        <w:t>ZH Verwaltungsgericht, 2019-03-01, DE</w:t>
      </w:r>
    </w:p>
    <w:p>
      <w:r>
        <w:rPr>
          <w:b/>
        </w:rPr>
        <w:t xml:space="preserve">Quelle: </w:t>
      </w:r>
      <w:r>
        <w:t>https://mcp.opencaselaw.ch/entscheid/zh_verwaltungsgericht__VB.2020.00189</w:t>
      </w:r>
    </w:p>
    <w:p>
      <w:r>
        <w:t>FR: ZH_VERWALTUNGSGERICHT VB.2020.00189 du 1 mars 2019</w:t>
      </w:r>
    </w:p>
    <w:p>
      <w:r>
        <w:t>IT: ZH_VERWALTUNGSGERICHT VB.2020.00189 del 1 marzo 2019</w:t>
      </w:r>
    </w:p>
    <w:p>
      <w:pPr>
        <w:pStyle w:val="Heading2"/>
      </w:pPr>
      <w:r>
        <w:t>Regeste</w:t>
      </w:r>
    </w:p>
    <w:p>
      <w:r>
        <w:t>Kurzaufenthaltsbewilligung zur Vorbereitung der Heirat | [Der Beschwerdeführer reiste 2018 in die Schweiz ein und ersuchte hier erfolglos um Asyl.] Der Beschwerdeführer und seine Verlobte leben seit dem 1. März 2019 zusammen, und es sind keine Widerrufsgründe nach Art. 63 AIG ersichtlich (E. 2.3.2). Es ist nicht hinreichend erstellt, dass der Beschwerdeführer die Ehe mit seiner Verlobten nur aus ausländerrechtlichen Motiven eingehen möchte (E. 2.3.3). Der Beschwerdeführer sollte innerhalb der nächsten Monate seinen Reisepass erhalten, womit sämtliche für den Abschluss des Ehevorbereitungsverfahrens benötigen Dokumente vorliegen würden. Damit ist die Eheschliessung zwischen dem Beschwerdeführer und seiner Verlobten absehbar, und dem Beschwerdeführer ist eine Kurzaufenthaltsbewilligung zu erteilen (E. 2.3.4). Gutheissung.</w:t>
      </w:r>
    </w:p>
    <w:p>
      <w:pPr>
        <w:pStyle w:val="Heading2"/>
      </w:pPr>
      <w:r>
        <w:t>Erwägungen</w:t>
      </w:r>
    </w:p>
    <w:p>
      <w:r>
        <w:rPr>
          <w:b/>
        </w:rPr>
        <w:t>E. 4</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