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VB.2020.00156 vom 1. Mai 2019</w:t>
      </w:r>
    </w:p>
    <w:p>
      <w:r>
        <w:t>ZH Verwaltungsgericht, 2019-05-01, DE</w:t>
      </w:r>
    </w:p>
    <w:p>
      <w:r>
        <w:rPr>
          <w:b/>
        </w:rPr>
        <w:t xml:space="preserve">Quelle: </w:t>
      </w:r>
      <w:r>
        <w:t>https://mcp.opencaselaw.ch/entscheid/zh_verwaltungsgericht__VB.2020.00156</w:t>
      </w:r>
    </w:p>
    <w:p>
      <w:r>
        <w:t>FR: ZH_VERWALTUNGSGERICHT VB.2020.00156 du 1 mai 2019</w:t>
      </w:r>
    </w:p>
    <w:p>
      <w:r>
        <w:t>IT: ZH_VERWALTUNGSGERICHT VB.2020.00156 del 1 maggio 2019</w:t>
      </w:r>
    </w:p>
    <w:p>
      <w:pPr>
        <w:pStyle w:val="Heading2"/>
      </w:pPr>
      <w:r>
        <w:t>Regeste</w:t>
      </w:r>
    </w:p>
    <w:p>
      <w:r>
        <w:t>Widerruf und Erlöschen der Niederlassungsbewilligung | [Erlöschen der Niederlassungsbewilligung eines hier geborenen Staatsangehörigen der Türkei nach einem befristeten Weiterbildungsaufenthalt in den Niederlanden] Gemäss Art. 61 Abs. 2 AIG erlischt die Niederlassungsbewilligung einer ausländischen Person, wenn sich diese ohne Abmeldung während sechs Monaten im Ausland aufhält und vor Ablauf dieser Frist kein Gesuch um Aufrechterhaltung der Bewilligung eingereicht hat; wurde ein solches Gesuch (rechtzeitig) gestellt, ist die Niederlassungsbewilligung nicht aufrechtzuerhalten, wenn sie widerrufen werden könnte (E. 2.1). Der Beschwerdeführer setzte den Beschwerdegegner von sich aus noch vor Ablauf der sechsmonatigen Frist über seinen befristeten Auslandaufenthalt in Kenntnis sowie über seine klare Absicht, die Niederlassungsbewilligung während dieser Zeit aufrechtzuerhalten; der Beschwerdegegner und die Vorinstanz gingen deshalb zu Unrecht davon aus, die Niederlassungsbewilligung des Beschwerdeführers sei erloschen, weil er innert sechs Monaten nach seiner Abreise kein Gesuch um Aufrechterhaltung der Niederlassungsbewilligung gestellt habe (E. 2.2 f.). Der Beschwerdeführer hat mit seinem Verhalten sodann zwar einen Widerrufsgrund gesetzt (E. 3.1); in Anbetracht dessen, dass er sich ausserhalb des Strassenverkehrs bislang nichts zuschulden hat kommen lassen und hier geboren wurde sowie gut integriert ist, erwiese sich ein Widerruf seiner Niederlassungsbewilligung indes gegenwärtig als unverhältnismässig (E. 3.3). Diese ist daher nicht erloschen (E. 3.4). Gutheissung.</w:t>
      </w:r>
    </w:p>
    <w:p>
      <w:pPr>
        <w:pStyle w:val="Heading2"/>
      </w:pPr>
      <w:r>
        <w:t>Erwägungen</w:t>
      </w:r>
    </w:p>
    <w:p>
      <w:r>
        <w:rPr>
          <w:b/>
        </w:rPr>
        <w:t>E. 4</w:t>
      </w:r>
    </w:p>
    <w:p>
      <w:r>
        <w:t>Nach dem Gesagten ist die Beschwerde gutzuheissen. Der Beschwerdeführer ist gestützt auf Art. 96 Abs. 2 AIG zu verwarnen.</w:t>
      </w:r>
    </w:p>
    <w:p>
      <w:r>
        <w:rPr>
          <w:b/>
        </w:rPr>
        <w:t>E. 5</w:t>
      </w:r>
    </w:p>
    <w:p>
      <w:r>
        <w:t>Ausgangsgemäss sind die Kosten des Rekurs- und des Beschwerdeverfahrens dem Beschwerdegegner aufzuerlegen (§ 13 Abs. 2 Satz 1 teilweise in Verbindung mit § 65a Abs. 2 VRG). Desgleichen hat dieser dem Beschwerdeführer antragsgemäss eine angemessene Parteientschädigung (jeweils zuzüglich Mehrwertsteuer) von Fr. 2'000.- für das Rekurs- sowie Fr. 1'500.- für das Beschwerdeverfahren zu bezahlen (§ 17 Abs. 2 VRG).</w:t>
      </w:r>
    </w:p>
    <w:p>
      <w:r>
        <w:rPr>
          <w:b/>
        </w:rPr>
        <w:t>E. 6</w:t>
      </w:r>
    </w:p>
    <w:p>
      <w:r>
        <w:t>Gegen Entscheide über den Widerruf oder das Erlöschen der Niederlassungsbewilligung ist die Beschwerde in öffentlich-rechtlichen Angelegenheiten nach Art. 82 ff. des Bundesgerichtsgesetzes vom 17. Juni 2005 (BGG, SR 173.110) zulässig, weil grundsätzlich ein Anspruch auf das Fortbestehen dieser Bewilligung gegeben ist (BGE 135 II 1 E. 1.2.1; BGr, 1. Mai 2019, 2C_397/2018, E. 1.1). Ansonsten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