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VB.2020.00155 vom 17. September 2020</w:t>
      </w:r>
    </w:p>
    <w:p>
      <w:r>
        <w:t>ZH Verwaltungsgericht, 2020-09-17, DE</w:t>
      </w:r>
    </w:p>
    <w:p>
      <w:r>
        <w:rPr>
          <w:b/>
        </w:rPr>
        <w:t xml:space="preserve">Quelle: </w:t>
      </w:r>
      <w:r>
        <w:t>https://mcp.opencaselaw.ch/entscheid/zh_verwaltungsgericht__VB.2020.00155</w:t>
      </w:r>
    </w:p>
    <w:p>
      <w:r>
        <w:t>FR: ZH_VERWALTUNGSGERICHT VB.2020.00155 du 17 septembre 2020</w:t>
      </w:r>
    </w:p>
    <w:p>
      <w:r>
        <w:t>IT: ZH_VERWALTUNGSGERICHT VB.2020.00155 del 17 settembre 2020</w:t>
      </w:r>
    </w:p>
    <w:p>
      <w:pPr>
        <w:pStyle w:val="Heading2"/>
      </w:pPr>
      <w:r>
        <w:t>Regeste</w:t>
      </w:r>
    </w:p>
    <w:p>
      <w:r>
        <w:t>Einreihung in Lohnklasse | [Die Beschwerdeführerin verfügt über einen "Master of Science ZFH in Business Administration" und schloss eine pädagogische Ausbildung an der Pädagogischen Hochschule Zürich ab. Für ihre befristete Anstellung als Lehrbeauftragte im Unterrichtstyp Berufsmittelschulen/kaufmännische Berufsschulen (BMS/KV) für das Fach Wirtschaft und Recht verlangte sie, in die Lohnklasse 20 eingereiht zu werden.] Soweit die Beschwerdeführerin auch ihre definitive Anstellung beantragt, ist auf die Beschwerde nicht einzutreten (E. 1.2). Im Kanton Zürich setzt § 3 Abs. 4 MBVO für die unbefristete Anstellung als Mittel- und Berufsschullehrperson insbesondere voraus, dass diese in den Fächern, in denen sie Unterricht erteilt, über einen Hochschulabschluss verfügt. Vorliegend ist streitig, ob ein Master einer Fachhochschule einem universitären Master gleichgestellt ist (E. 2.1 f.). Der Begriff "abgeschlossenes Hochschulstudium" an sich legt vorliegend keinen klaren Schluss nahe. Denn Universitäten sowie Fachhochschulen sind Hochschulen, die Lehre vermitteln, Forschung betreiben, Dienstleistungen anbieten und akademische Grade verleihen (E. 2.3.2). Aus der Systematik des Einreihungsplans im Anhang der MBVO lässt sich ebenfalls nichts ableiten, zumal ein Masterabschluss einer Fachhochschule nicht ohne Weiteres als von "tieferer Stufe als Hochschulabschluss" qualifiziert werden kann (E. 2.3.3). Sowohl die Eingangs- wie die Ausgangskompetenzen von Fachhochschulabsolvierenden stehen in einem engen Bezug zur Arbeitswelt. Universitäten und Fachhochschulen erfüllen demnach unterschiedliche Missionen und Aufgaben; auf eine Differenzierung zu verzichten, ist nicht angezeigt (E. 2.3.5.1). Da die Vermittlung von theoretischem Fachwissen und einer wissenschaftlichen Denk- und Arbeitsweise insbesondere an Universitäten erfolgt, ist nachvollziehbar, wenn für den Unterricht im Rahmen der erweiterten Allgemeinbildung an Berufsmittelschulen eine entsprechende Ausbildung der Lehrperson vorausgesetzt wird (E.2.3.5.2). Demnach rechtfertigt es sich nicht, den Abschluss der Beschwerdeführerin als "abgeschlossenes Hochschulstudium" im Sinn von Anhang A Ziff. I Klasse 20 lit. c MBVO zu qualifizieren (E. 2.3.6). Abweisung, soweit darauf eingetreten wird.</w:t>
      </w:r>
    </w:p>
    <w:p>
      <w:pPr>
        <w:pStyle w:val="Heading2"/>
      </w:pPr>
      <w:r>
        <w:t>Erwägungen</w:t>
      </w:r>
    </w:p>
    <w:p>
      <w:r>
        <w:rPr>
          <w:b/>
        </w:rPr>
        <w:t>E. 4</w:t>
      </w:r>
    </w:p>
    <w:p>
      <w:r>
        <w:t>Weil der Streitwert weniger als Fr. 30'000.- beträgt (vgl. E. 1.4), sind die Gerichtskosten auf die Gerichtskasse zu nehmen (§ 65a Abs. 3 VRG). Die unterliegende Beschwerdeführerin hat keinen Anspruch auf eine Parteientschädigung (§ 17 Abs. 2 VRG).</w:t>
      </w:r>
    </w:p>
    <w:p>
      <w:r>
        <w:rPr>
          <w:b/>
        </w:rPr>
        <w:t>E. 5</w:t>
      </w:r>
    </w:p>
    <w:p>
      <w:r>
        <w:t>Weil vorliegend von einem Fr. 15'000.- nicht erreichenden Streitwert auszugehen ist (E. 1.4), ist die Beschwerde in öffentlich-rechtlichen Angelegenheiten an das Bundesgericht nur zulässig, wenn sich eine Rechtsfrage von grundsätzlicher Bedeutung stellt (Art. 85 Abs. 1 lit. b in Verbindung mit Abs. 2 des Bundesgerichtsgesetzes vom 17. Juni 2005 [BGG, SR 173.110]). Ansonsten steht die subsidiäre Verfassungsbeschwerde nach Art. 113 ff. BGG offen. Sollten beide Rechtsmittel ergriffen werden, so müsste dies in derselben Rechtsschrift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