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VB.2020.00143 vom 28. April 2020</w:t>
      </w:r>
    </w:p>
    <w:p>
      <w:r>
        <w:t>ZH Verwaltungsgericht, 2020-04-28, DE</w:t>
      </w:r>
    </w:p>
    <w:p>
      <w:r>
        <w:rPr>
          <w:b/>
        </w:rPr>
        <w:t xml:space="preserve">Quelle: </w:t>
      </w:r>
      <w:r>
        <w:t>https://mcp.opencaselaw.ch/entscheid/zh_verwaltungsgericht__VB.2020.00143</w:t>
      </w:r>
    </w:p>
    <w:p>
      <w:r>
        <w:t>FR: ZH_VERWALTUNGSGERICHT VB.2020.00143 du 28 avril 2020</w:t>
      </w:r>
    </w:p>
    <w:p>
      <w:r>
        <w:t>IT: ZH_VERWALTUNGSGERICHT VB.2020.00143 del 28 aprile 2020</w:t>
      </w:r>
    </w:p>
    <w:p>
      <w:pPr>
        <w:pStyle w:val="Heading2"/>
      </w:pPr>
      <w:r>
        <w:t>Regeste</w:t>
      </w:r>
    </w:p>
    <w:p>
      <w:r>
        <w:t>Verlängerung der Aufenthaltsbewilligung | [Verlängerung der Aufenthaltsbewilligung] Der Beschwerdeführer und seine Ehefrau leben seit mehr als einem Jahr getrennt, weshalb sein Anwesenheitsanspruch gestützt auf das FZA dahingefallen ist (E. 3.2). Sodann hat das eheliche Zusammenleben in der Schweiz keine drei Jahre gedauert, weshalb der Beschwerdeführer aus Art. 50 Abs. 1 lit. a AIG keinen nachehelichen Aufenthaltsanspruch ableiten kann. Daran ändert auch seine erste Ehe mit einer Schweizerin nichts (E. 3.4). Der Beschwerdeführer bringt erstmals vor, Alevit zu sein. Allein dadurch ist aber kein wichtiger Grund für einen Verbleib in der Schweiz im Sinn von Art. 50 Abs. 1 lit. b AIG dargetan (E. 3.6). Abweisung.</w:t>
      </w:r>
    </w:p>
    <w:p>
      <w:pPr>
        <w:pStyle w:val="Heading2"/>
      </w:pPr>
      <w:r>
        <w:t>Erwägungen</w:t>
      </w:r>
    </w:p>
    <w:p>
      <w:r>
        <w:rPr>
          <w:b/>
        </w:rPr>
        <w:t>E. 4</w:t>
      </w:r>
    </w:p>
    <w:p>
      <w:r>
        <w:t>Ausgangsgemäss sind die Gerichtskosten dem Beschwerdeführer aufzuerlegen (§ 65a Abs. 2 in Verbindung mit § 13 Abs. 2 Satz 1 VRG) und steht ihm keine Parteientschädigung zu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