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VB.2020.00076 vom 31. März 2020</w:t>
      </w:r>
    </w:p>
    <w:p>
      <w:r>
        <w:t>ZH Verwaltungsgericht, 2020-03-31, DE</w:t>
      </w:r>
    </w:p>
    <w:p>
      <w:r>
        <w:rPr>
          <w:b/>
        </w:rPr>
        <w:t xml:space="preserve">Quelle: </w:t>
      </w:r>
      <w:r>
        <w:t>https://mcp.opencaselaw.ch/entscheid/zh_verwaltungsgericht__VB.2020.00076</w:t>
      </w:r>
    </w:p>
    <w:p>
      <w:r>
        <w:t>FR: ZH_VERWALTUNGSGERICHT VB.2020.00076 du 31 mars 2020</w:t>
      </w:r>
    </w:p>
    <w:p>
      <w:r>
        <w:t>IT: ZH_VERWALTUNGSGERICHT VB.2020.00076 del 31 marzo 2020</w:t>
      </w:r>
    </w:p>
    <w:p>
      <w:pPr>
        <w:pStyle w:val="Heading2"/>
      </w:pPr>
      <w:r>
        <w:t>Regeste</w:t>
      </w:r>
    </w:p>
    <w:p>
      <w:r>
        <w:t>Verlängerung der Aufenthaltsbewilligung | [Nacheheliches Aufenthaltsrecht] Das eheliche Zusammenleben in der Schweiz dauerte keine drei Jahre, weshalb die Beschwerdeführerin aus Art. 50 Abs. 1 lit. a AIG keinen nachehelichen Aufenthaltsanspruch ableiten kann (E. 2.1-10). Wichtige Gründe für einen Verbleib in der Schweiz im Sinn von Art. 50 Abs. 1 lit. b AIG werden nicht geltend gemacht und sind auch nicht ersichtlich (E. 2.11). Abweisung des Armenrechtsgesuchs wegen Aussichtslosigkeit der Beschwerde.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Gerichtskosten der Beschwerdeführerin aufzuerlegen (§ 65a Abs. 2 in Verbindung mit § 13 Abs. 2 Satz 1 VRG) und steht ihr keine Parteientschädigung zu (§ 17 Abs. 2 VRG). Das Gesuch um unentgeltliche Prozessführung und Rechtsvertretung ist abzuweisen (§ 16 Abs. 1 VRG), da sich die Beschwerde als aussichtslos erweist.</w:t>
      </w:r>
    </w:p>
    <w:p>
      <w:r>
        <w:rPr>
          <w:b/>
        </w:rPr>
        <w:t>E. 5</w:t>
      </w:r>
    </w:p>
    <w:p>
      <w:r>
        <w:t>Zur Rechtsmittelbelehrung des nachstehenden Dispositivs ist Folgendes zu erläutern: Soweit ein Anwesenheitsanspruch geltend gemacht wird, ist die Beschwerde in öffentlich-rechtlichen Angelegenheiten nach Art. 82 ff. des Bundesgerichtsgesetzes vom 17. Juni 2005 (BGG, SR 173.110) zulässig (BGr, 2. November 2017, 2C_260/2017, E. 1.1); ansonsten steht die subsidiäre Verfassungsbeschwerde gemäss Art. 113 ff. BGG offen (Art. 83 lit. c Ziff. 2 und 4 BGG).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