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VB.2020.00061 vom 27. April 2020</w:t>
      </w:r>
    </w:p>
    <w:p>
      <w:r>
        <w:t>ZH Verwaltungsgericht, 2020-04-27, DE</w:t>
      </w:r>
    </w:p>
    <w:p>
      <w:r>
        <w:rPr>
          <w:b/>
        </w:rPr>
        <w:t xml:space="preserve">Quelle: </w:t>
      </w:r>
      <w:r>
        <w:t>https://mcp.opencaselaw.ch/entscheid/zh_verwaltungsgericht__VB.2020.00061</w:t>
      </w:r>
    </w:p>
    <w:p>
      <w:r>
        <w:t>FR: ZH_VERWALTUNGSGERICHT VB.2020.00061 du 27 avril 2020</w:t>
      </w:r>
    </w:p>
    <w:p>
      <w:r>
        <w:t>IT: ZH_VERWALTUNGSGERICHT VB.2020.00061 del 27 aprile 2020</w:t>
      </w:r>
    </w:p>
    <w:p>
      <w:pPr>
        <w:pStyle w:val="Heading2"/>
      </w:pPr>
      <w:r>
        <w:t>Regeste</w:t>
      </w:r>
    </w:p>
    <w:p>
      <w:r>
        <w:t>fehlendes Rechtsdomizil | [Auflösung eines Einzelunternehmens wegen fehlenden Rechtsdomizils] Der Beschwerdeführer liess sämtliche vom Beschwerdegegner entsprechend den formellen Erfordernissen von Art. 153a HRegV gesetzten Fristen ungenutzt verstreichen, weshalb die Auflösung des Einzelunternehmens gemäss Art.153b HRegV zu Recht verfügt wurde (E. 2). Die Bussenauflage erweist sich sodann ebenfalls als zulässig, und der Beschwerdegegner hat das ihm bei der Festlegung der Bussenhöhe (vorliegend Fr. 200.-) zustehende Ermessen pflichtgemäss ausgeübt (E. 3).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(vgl. § 65a Abs. 2 VRG in Verbindung mit § 13 Abs. 2 Satz 1 VRG).</w:t>
      </w:r>
    </w:p>
    <w:p>
      <w:r>
        <w:rPr>
          <w:b/>
        </w:rPr>
        <w:t>E. 6</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den Grenzwert von Fr. 30'000.- nicht erreichen dürfte (vgl. vorn E. 1.2), steht die ordentliche Beschwerde in Zivilsachen nur dann zur Verfügung, wenn sich eine Rechtsfrage von grundsätzlicher Bedeutung stellt (Art. 74 Abs. 2 lit. a BGG); ansonsten steht die subsidiäre Verfassungsbeschwerde gemäss Art. 113 ff. BGG offen. Werden beide Rechtsmittel ergriffen, hat dies in der gleichen Rechtsschrift zu erfolgen (Art.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