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VB.2020.00043 vom 25. Juni 2020</w:t>
      </w:r>
    </w:p>
    <w:p>
      <w:r>
        <w:t>ZH Verwaltungsgericht, 2020-06-25, DE</w:t>
      </w:r>
    </w:p>
    <w:p>
      <w:r>
        <w:rPr>
          <w:b/>
        </w:rPr>
        <w:t xml:space="preserve">Quelle: </w:t>
      </w:r>
      <w:r>
        <w:t>https://mcp.opencaselaw.ch/entscheid/zh_verwaltungsgericht__VB.2020.00043</w:t>
      </w:r>
    </w:p>
    <w:p>
      <w:r>
        <w:t>FR: ZH_VERWALTUNGSGERICHT VB.2020.00043 du 25 juin 2020</w:t>
      </w:r>
    </w:p>
    <w:p>
      <w:r>
        <w:t>IT: ZH_VERWALTUNGSGERICHT VB.2020.00043 del 25 giugno 2020</w:t>
      </w:r>
    </w:p>
    <w:p>
      <w:pPr>
        <w:pStyle w:val="Heading2"/>
      </w:pPr>
      <w:r>
        <w:t>Regeste</w:t>
      </w:r>
    </w:p>
    <w:p>
      <w:r>
        <w:t>Verlängerung der Jahresfrist für Schutzabklärung | Fristverlängerung in Provokationsverfahren (Betroffene Liegenschaft ist Bestandteil einer Siedlung). Eine Verlängerung der Verwirkungsfrist in denkmalpflegerischen Provokationsverfahren um ein Jahr ist gemäss § 213 Abs. 3 PBG nur in Ausnahmefällen möglich. Sinn und Zweck der Bestimmung ist es, die Stellung des Eigentümers zu stärken, indem die Schutzanordnung an maximale Fristen gebunden wird, um so dem Grundeigentümer möglichst bald Gewissheit über die Schutzwürdigkeit seines Objekts zu verschaffen. Deshalb sollte das Gemeinwesen nur zurückhaltend von der Fristverlängerung Gebrauch machen. Eine erste Fristverlängerung auf insgesamt zwei Jahre kann das Gemeinwesen im Falle einer Ausnahmesituation ohne das Einverständnis des Grundeigentümers anzeigen. Im ausdrücklichen Einvernehmen mit diesem oder auf dessen Ersuchen hin stehen weitere Fristerstreckungen dem Sinn und Zweck dieser Bestimmung indessen nicht entgegen und können ohne Weiteres vereinbart werden (E.3). Zum erforderlichen Ausnahme-Grad für Fristverlängerungen von einem Jahr gemäss § 213 Abs. 3 PBG hat sich das Verwaltungsgericht in seiner Rechtsprechung noch nicht geäussert. Ausführungen dazu erübrigen sich indessen auch hier, müssen doch jeweils die Umstände des konkreten Einzelfalls als Beurteilungsgrundlage dienen. Die Vorinstanz hat vorliegend unter Berücksichtigung der Umstände die Fristverlängerung des Provokationsverfahrens von einem Jahr zu Recht nicht beanstandet (E.4). Abweisung.</w:t>
      </w:r>
    </w:p>
    <w:p>
      <w:pPr>
        <w:pStyle w:val="Heading2"/>
      </w:pPr>
      <w:r>
        <w:t>Erwägungen</w:t>
      </w:r>
    </w:p>
    <w:p>
      <w:r>
        <w:rPr>
          <w:b/>
        </w:rPr>
        <w:t>E. 6</w:t>
      </w:r>
    </w:p>
    <w:p>
      <w:r>
        <w:t>Die Gerichtskosten sind ausgangsgemäss dem Beschwerdeführer aufzuerlegen (§ 70 in Verbindung mit § 13 Abs. 2 VRG). Eine Parteientschädigung steht ihm bei diesem Ergebnis von vornherein nicht zu (§ 17 Abs. 2 VRG). Obsiegenden grösseren Gemeinwesen wird lediglich ausnahmsweise eine Parteientschädigung zugesprochen, wenn ausserordentliche Bemühungen nötig waren, welche über das hinausgehen, wofür das betreffende Gemeinwesen organisatorisch eingerichtet ist (Kaspar Plüss, Kommentar VRG, § 17 N. 54). Davon ist vorliegend nicht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