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VB.2020.00029 vom 10. September 2020</w:t>
      </w:r>
    </w:p>
    <w:p>
      <w:r>
        <w:t>ZH Verwaltungsgericht, 2020-09-10, DE</w:t>
      </w:r>
    </w:p>
    <w:p>
      <w:r>
        <w:rPr>
          <w:b/>
        </w:rPr>
        <w:t xml:space="preserve">Quelle: </w:t>
      </w:r>
      <w:r>
        <w:t>https://mcp.opencaselaw.ch/entscheid/zh_verwaltungsgericht__VB.2020.00029</w:t>
      </w:r>
    </w:p>
    <w:p>
      <w:r>
        <w:t>FR: ZH_VERWALTUNGSGERICHT VB.2020.00029 du 10 septembre 2020</w:t>
      </w:r>
    </w:p>
    <w:p>
      <w:r>
        <w:t>IT: ZH_VERWALTUNGSGERICHT VB.2020.00029 del 10 settembre 2020</w:t>
      </w:r>
    </w:p>
    <w:p>
      <w:pPr>
        <w:pStyle w:val="Heading2"/>
      </w:pPr>
      <w:r>
        <w:t>Regeste</w:t>
      </w:r>
    </w:p>
    <w:p>
      <w:r>
        <w:t>Quartierplan | Kostenauflage im Quartierplanverfahren Das durch den Quartierplan begründete private Wegrecht führt nicht zu einer auszugleichenden Werteinbusse des belasteten Grundstücks, da dessen Grundeigentümerschaft zur Errichtung eines öffentlichen Wegrechts auf der dienstbarkeitsbetroffenen Fläche verpflichtet ist und die private Dienstbarkeit demgegenüber keine Mehrbelastung darstellt (E. 4). Die Verpflichtung zur Tragung von Kosten für die Feinerschliessung besteht unabhängig davon, ob auf den fraglichen Feinerschliessungsanlagen ein öffentliches Fuss- und Fahrwegrecht lastet. Der - bislang unterbliebene - Eintrag eines solchen Rechts vermöchte die Beschwerdeführerin daher nicht von ihrer Kostentragungspflicht zu befreien (E. 5.3). Die Erstellungskosten der dienstbarkeitsbetroffenen Fläche sind nicht ausgewiesen und der angefochtene Entscheid diesbezüglich nicht ausreichend begründet (E. 5.4). Im Neuentscheid wird die Vorinstanz über das Vorliegen besonderer Verhältnisse nach § 177 Abs. 1 PBG zu befinden haben, welche einer schematischen Auflage der Administrativkosten im Verhältnis zur Fläche der betroffenen Grundstücke entgegenstünden (E. 6). Rückweisung.</w:t>
      </w:r>
    </w:p>
    <w:p>
      <w:pPr>
        <w:pStyle w:val="Heading2"/>
      </w:pPr>
      <w:r>
        <w:t>Erwägungen</w:t>
      </w:r>
    </w:p>
    <w:p>
      <w:r>
        <w:rPr>
          <w:b/>
        </w:rPr>
        <w:t>E. 3</w:t>
      </w:r>
    </w:p>
    <w:p>
      <w:r>
        <w:t>Der Quartierplan ermöglicht im erfassten Gebiet eine der planungs- und baurechtlichen Ordnung entsprechende Nutzung und enthält die dafür nötigen Anordnungen (§ 123 Abs. 1 PBG). Es handelt sich dabei um einen Sondernutzungsplan, mit welchem durch eine Verbindung von Massnahmen der Landumlegung und der Erschliessung eingezontes Land überbaubar gemacht und dessen der planungs- und baurechtlichen Ordnung entsprechende Nutzung ermöglicht werden soll (VGr, 27. Juni 2019, VB.2018.00515, E. 2.1). Insbesondere zur Schaffung hinreichender Erschliessungsverhältnisse können im Quartierplanverfahren auch Dienstbarkeiten begründet, aufgehoben oder geändert werden (vgl. § 139 Abs. 1 PBG; Peter Kleb, Kosten und Entschädigungen im zürcherischen Quartierplanverfahren, Zürich 2004, S. 63 ff.).</w:t>
      </w:r>
    </w:p>
    <w:p>
      <w:r>
        <w:rPr>
          <w:b/>
        </w:rPr>
        <w:t>E. 4.1</w:t>
      </w:r>
    </w:p>
    <w:p>
      <w:r>
        <w:t>Gemäss § 145 Abs. 2 PBG ist für Werteinbussen durch die Aufhebung, Änderung oder Begründung von Rechten an Grundstücken im Quartierplanperimeter Geldausgleich zu leisten. Ein Geldausgleich für die Begründung von Dienstbarkeiten ist nach der gesetzlichen Regelung mithin nur geschuldet, wenn eine zugunsten einer Parzelle begründete Dienstbarkeit zu einer Werteinbusse des belasteten Grundstücks führt.</w:t>
      </w:r>
    </w:p>
    <w:p>
      <w:r>
        <w:rPr>
          <w:b/>
        </w:rPr>
        <w:t>E. 4.2</w:t>
      </w:r>
    </w:p>
    <w:p>
      <w:r>
        <w:t>Nach den Berechnungen der Vorinstanz soll die Beschwerdeführerin für das im Quartierplan als private Dienstbarkeit vorgesehene Fuss- und Fahrwegrecht auf Parzelle Kat.-Nr. 02 einen Geldausgleich von Fr. 290.- pro Quadratmeter leisten. Sie ging damit von einer entsprechenden Werteinbusse der Parzelle Kat.-Nr. 02 aus.</w:t>
      </w:r>
    </w:p>
    <w:p>
      <w:r>
        <w:rPr>
          <w:b/>
        </w:rPr>
        <w:t>E. 4.2.1</w:t>
      </w:r>
    </w:p>
    <w:p>
      <w:r>
        <w:t>Die Grundeigentümerschaft der Parzelle Kat.-Nr. 02 war durch die in der Baubewilligung vom 20. September 2005 enthaltene Auflage verpflichtet worden, ein öffentliches Fuss- und Fahrwegrecht über ihr Grundstück einzuräumen (hiervor E. 2.2). Ihrem Wesen nach handelt es sich bei einer solchen Auflage um einen Polizeibefehl, der an den Vorbehalt der Bauausführung geknüpft ist. Wird bei der Bauausführung einer in der Baubewilligung enthaltenen Auflage nicht nachgelebt, kann das Gemeinwesen deren Erfüllung mittels hoheitlichen Zwangs durchsetzen (VGr, 20. Dezember 2006, VB.2006.00391, E. 5.1). Da die Baubewilligung als sachbezogene Bewilligung am Grundstück haftet und mit diesem übertragbar ist, gilt sie mit den in ihr enthaltenen Nebenbestimmungen auch für den späteren Eigentümer, der selber nicht Adressat der Baubewilligung war (VGr, 20. Dezember 2006, VB.2006.00391, E. 5.2 mit Hinweisen). Die in formelle Rechtskraft erwachsene Auflage zur Einräumung eines öffentlichen Wegrechts, zu deren Erfüllung der Gemeinderat C die Grundeigentümerschaft der Parzelle Kat.-Nr. 02 am 8. Mai 2012 erneut verpflichtet hat (hiervor E. 2.3), gilt folglich weiterhin, zumal die Auflage bislang nicht widerrufen worden ist. Das von der Gemeinde angenommene Dahinfallen des öffentlichen Interesses an der Auflage (siehe vorstehend E. 2.2) sowie das Vorbringen des Mitbeteiligten, wonach der Auflage keine Gegenleistung der Gemeinde gegenübergestanden sei, sind für deren formelle Rechtskraft unerheblich. Dass die Gemeinde (noch) keine Ersatzvornahme veranlasste und das ihr gemäss Baubewilligung vom 20. September 2005 einzuräumende öffentliche Fuss- und Fahrwegrecht (noch) nicht selber im Grundbuch eintragen liess, vermag am Bestand dieser Verpflichtung ebenfalls nichts zu ändern (vgl. auch OGr, 20. Dezember 2012, LF120031-O/U, E. 5). Unerheblich ist zudem, ob die Beschwerdeführerin dies hätte durchsetzen können und ob die Gemeinde zur Durchsetzung der Auflage gehalten gewesen wäre.</w:t>
      </w:r>
    </w:p>
    <w:p>
      <w:r>
        <w:rPr>
          <w:b/>
        </w:rPr>
        <w:t>E. 4.2.2</w:t>
      </w:r>
    </w:p>
    <w:p>
      <w:r>
        <w:t>Die im Quartierplan vorgesehene Errichtung eines privaten Fahrwegrechts führt vor diesem Hintergrund nicht zu einer Werteinbusse der belasteten Parzelle Kat.-Nr. 02, zumal damit gegenüber dem öffentlichen Fuss- und Fahrwegrecht keine zusätzliche Belastung verbunden ist. Angesichts der bestehenden Verpflichtung, eine öffentliche Dienstbarkeit eintragen zu lassen, die auch der Erschliessung der Liegenschaft der Beschwerdeführerin dient, führt die private Dienstbarkeit zugunsten der Beschwerdeführerin zu keiner Werteinbusse der Parzelle Kat.-Nr. 02. Sieht die Gemeinde (weiterhin) von einer ersatzvornahmeweisen Eintragung eines öffentlichen Fuss- und Fahrwegrechts ab, erscheint das vom Quartierplan allein zugunsten des beschwerdeführerischen Grundstücks vorgesehene Fahrwegrecht insgesamt gar als Minderbelastung.</w:t>
      </w:r>
    </w:p>
    <w:p>
      <w:r>
        <w:rPr>
          <w:b/>
        </w:rPr>
        <w:t>E. 4.3</w:t>
      </w:r>
    </w:p>
    <w:p>
      <w:r>
        <w:t>Die der Beschwerdegegnerin auferlegte Verpflichtung zur Zahlung von Fr. 19'140.- als Geldausgleich für den Erwerb des Wegrechts findet demzufolge in § 145 Abs. 2 PBG mangels auszugleichender Werteinbusse keine Grundlage. Der angefochtene Entscheid erweist sich insoweit als fehlerhaft und ist aufzuheben.</w:t>
      </w:r>
    </w:p>
    <w:p>
      <w:r>
        <w:rPr>
          <w:b/>
        </w:rPr>
        <w:t>E. 5.1</w:t>
      </w:r>
    </w:p>
    <w:p>
      <w:r>
        <w:t>Der Quartierplan bestimmt, wie die Erstellungskosten von Erschliessungsanlagen sowie von gemeinschaftlichen Ausstattungen und Ausrüstungen zu tragen sind (§ 146 Abs. 1 PBG). Massgebend ist dabei in erster Linie das Interesse an den betreffenden Anlagen (Abs. 2). Ein Interesse besteht dabei nicht nur an den direkt benützten Zugängen, Zufahrten und Leitungen, sondern auch an solchen Erschliessungen, welche die Verkehrs- oder Erschliessungsverhältnisse im Quartier allgemein verbessern oder Immissionen aus dem Strassenverkehr reduzieren (VGr, 30. Juni 2009, VB.2008.303, E. 2.2). Eine Kostenbelastung ist auch dann möglich, wenn das Grundstück bereits erschlossen war, aber durch den Quartierplan aufgewertet wird (VGr, 19. September 2013, VB.2013.00055, E. 3.1).</w:t>
      </w:r>
    </w:p>
    <w:p>
      <w:r>
        <w:rPr>
          <w:b/>
        </w:rPr>
        <w:t>E. 5.2</w:t>
      </w:r>
    </w:p>
    <w:p>
      <w:r>
        <w:t>Mit dem Quartierplan F wurde die Beschwerdeführerin verpflichtet, als Einkauf in die Erstellungskosten der Zufahrt auf Parzelle Kat.-Nr. 02 einen Beitrag von Fr. 130.- pro Quadratmeter (insgesamt Fr. 8'580.-) zu leisten. Dieser Betrag errechnete sich gemäss dem Quartierplanbericht pro rata aus den Erstellungskosten gemäss Angaben der Bauherrschaft von insgesamt Fr. 39'260.- für die ganze Zufahrt der Parzelle Kat.-Nr. 02 mit einer Fläche von 150 m 2 .</w:t>
      </w:r>
    </w:p>
    <w:p>
      <w:r>
        <w:rPr>
          <w:b/>
        </w:rPr>
        <w:t>E. 5.3</w:t>
      </w:r>
    </w:p>
    <w:p>
      <w:r>
        <w:t>Dass die an den E-Weg angrenzende befestigte Fläche der Feinerschliessung dient und die Erstellung von Anlagen der Feinerschliessung grundsätzlich von den angeschlossenen Grundeigentümern zu finanzieren ist (vgl. RB 1987 Nr. 59), stellt die Beschwerdeführerin zu Recht nicht in Abrede. In grundsätzlicher Hinsicht bringt sie gegen eine insoweite Kostenauflage einzig vor, dass ihr keine Kosten entstanden wären, wenn die Gemeinde die Eintragung des öffentlichen Wegrechts durchgesetzt hätte. Die Verpflichtung zur Tragung von Kosten für die Feinerschliessung besteht jedoch unabhängig davon, ob auf den fraglichen Feinerschliessungsanlagen ein öffentliches Fuss- und Fahrwegrecht lastet. Die (bislang unterbliebene) Eintragung eines solchen Rechts im Grundbuch vermöchte die Beschwerdeführerin demzufolge nicht von einer Beteiligung an den Erstellungskosten der Feinerschliessung ihrer Parzelle zu befreien.</w:t>
      </w:r>
    </w:p>
    <w:p>
      <w:r>
        <w:rPr>
          <w:b/>
        </w:rPr>
        <w:t>E. 5.4</w:t>
      </w:r>
    </w:p>
    <w:p>
      <w:r>
        <w:t>Hinsichtlich der Bemessung des Einkaufsbetrags hatte die Beschwerdeführerin im Rekursverfahren beanstandet, ein schlichtes Abstellen auf die Angaben der Grundeigentümerschaft zu den Erstellungskosten sei willkürlich; überdies seien die Erstellungskosten unbelegt und nicht nachvollziehbar. Zudem sei aufgrund der seit den Bauarbeiten eingetretenen Altersentwertung von den Erstellungskosten ein Abzug vorzunehmen. Die Vorinstanz erachtete die Höhe der Erstellungskosten durch die bei den Quartierplanakten liegenden Belege der Bauherrschaft ausreichend erstellt und nahm keinen solchen Abzug vor, weil die Beteiligung an den Erstellungskosten der Erschliessungsanlage einmalig sei und die Alterung nichts an deren ursprünglichen Höhe ändere. Weshalb dem Umstand, dass die Beschwerdeführerin aus der Erschliessungsanlage bislang noch keinen Nutzen ziehen konnte – ein Baugesuch zur Bewilligung von an den E-Weg angrenzenden Parkplätzen wurde mit Entscheid des Baurekursgerichts vom 20. November 2014 wegen Fehlens einer rechtlich gesicherten Zufahrt abgewiesen –, nach Auffassung der Vorinstanz keine Bedeutung beizumessen sei, geht aus dem angefochtenen Entscheid nicht hervor. Zum Vorbringen der Beschwerdeführerin in der Rekursschrift, zur Feststellung der Kostenhöhe dürfe nicht schlicht auf die Angaben der Bauherrschaft abgestellt werden, führt der angefochtene Entscheid lediglich aus, es liege in der Natur der Sache, dass sich die Höhe der Erstellungskosten aus den Angaben des Erstellenden ergebe. Aus den bei den Akten liegenden Belegen geht jedoch nicht ohne Weiteres hervor, welche Kosten für die Erstellung der dienstbarkeitsbetroffenen Zufahrtsfläche von 66 m 2 anfielen, zumal die aktenkundigen Rechnungsbeträge auch Gartenarbeiten und die Erstellung von Parkplätzen sowie weiterer Aussenflächen betreffen. Die Vorinstanz hätte aufgrund ihrer Pflicht zur Feststellung des rechtserheblichen Sachverhalts (§ 7 Abs. 1 VRG) diese Belege zumindest würdigen müssen. Durch das unbegründete Abstellen auf ein von der Bauherrschaft behauptetes Total, welches nicht nur die Erstellung der dienstbarkeitsbetroffenen Erschliessungsanlage betrifft, verletzte die Vorinstanz auch ihre Begründungspflicht, wonach wenigstens kurz die Überlegungen genannt werden müssten, von denen sich die Behörde hat leiten lassen und auf die sich ihr Entscheid stützt (vgl. Art. 29 Abs. 2 der Bundesverfassung vom 18. April 1999; § 10 Abs. 1 VRG sowie BGE 143 III 65 E. 5.2).</w:t>
      </w:r>
    </w:p>
    <w:p>
      <w:r>
        <w:rPr>
          <w:b/>
        </w:rPr>
        <w:t>E. 5.5</w:t>
      </w:r>
    </w:p>
    <w:p>
      <w:r>
        <w:t>Dementsprechend ist die Sache hinsichtlich der Erstellungskosten für die Erschliessungsanlage zur ausreichenden Sachverhaltsabklärung und zum begründeten Neuentscheid an die Vorinstanz zurückzuweisen.</w:t>
      </w:r>
    </w:p>
    <w:p>
      <w:r>
        <w:rPr>
          <w:b/>
        </w:rPr>
        <w:t>E. 6.1</w:t>
      </w:r>
    </w:p>
    <w:p>
      <w:r>
        <w:t>Gemäss § 177 PBG sind die Kosten der Gemeinde für die Aufstellung und den Vollzug des Quartierplans von den beteiligten Grundeigentümern samt Zins in der Regel im Verhältnis der Flächen ihrer neuen Grundstücke zu bezahlen. Besondere Verhältnisse sind zu berücksichtigen (§ 177 Abs. 1 PBG).</w:t>
      </w:r>
    </w:p>
    <w:p>
      <w:r>
        <w:rPr>
          <w:b/>
        </w:rPr>
        <w:t>E. 6.2</w:t>
      </w:r>
    </w:p>
    <w:p>
      <w:r>
        <w:t>Der Bericht und der Tabellensatz der Quartierplanfestsetzung statuieren eine Verlegung der Kosten des Quartierplanverfahrens auf die beteiligten Grundeigentümer gemäss der unveränderten Fläche ihrer jeweiligen Grundstücke. Die Vor­instanz erwog, dass die Vorgeschichte des Quartierplanverfahrens keinen Verzicht auf die Auferlegung von Administrativkosten an die Beschwerdeführerin rechtfertige. Hingegen unterliess sie eine Prüfung, ob besondere Verhältnisse im Sinn von § 177 Abs. 1 PBG vorliegen, weil der Quartierplan F keine Landumlegungen anordnet, sondern lediglich die Erschliessung im Quartierplangebiet regelt. Auch äusserte sich die Vorinstanz im Zusammenhang mit der Kostenauflage nicht ausdrücklich zum Umstand, dass die Beschwerdeführerin wiederholt die Durchsetzung der rechtskräftigen und vollstreckbaren Auflage aus der Baubewilligung vom 20. September 2005 gefordert hatte, welche einen Einbezug des beschwerdeführerischen Grundstücks in das Quartierplanverfahren erübrigt hätte. Schliesslich hätte sich auch die Prüfung aufgedrängt, ob der offensichtlich unterschiedliche Planungsaufwand für die drei Erschliessungen "Nord", "Mitte" und "Süd" im Quartierplan F einen Kostenverleger zulässt, der für die Kostenauflage an das beschwerdeführerische Grundstück einzig auf dessen Fläche abstellt.</w:t>
      </w:r>
    </w:p>
    <w:p>
      <w:r>
        <w:rPr>
          <w:b/>
        </w:rPr>
        <w:t>E. 6.3</w:t>
      </w:r>
    </w:p>
    <w:p>
      <w:r>
        <w:t>Im Rahmen ihres Neuentscheids wird die Vorinstanz demzufolge über das Vorliegen besonderer Verhältnisse im Sinn von § 177 Abs. 1 PBG zu befinden und die Höhe der Kostenauflage im Lichte des Äquivalenzprinzips zu überprüfen haben.</w:t>
      </w:r>
    </w:p>
    <w:p>
      <w:r>
        <w:rPr>
          <w:b/>
        </w:rPr>
        <w:t>E. 7</w:t>
      </w:r>
    </w:p>
    <w:p>
      <w:r>
        <w:t>Nach dem Ausgeführten ist die Beschwerde teilweise gutzuheissen und die Sache zum Neuentscheid im Sinn der Erwägungen an die Vorinstanz zurückzuweisen. Im Rahmen des Neuentscheids hat das Baurekursgericht auch über die Verlegung der Rekurskosten und die allfällige Zusprechung einer Parteientschädigung unter Berücksichtigung des dannzumaligen Ausgangs neu zu befinden, wobei die Beschwerdeführerin als mindestens teilweise obsiegend zu betrachten sein wird (hiervor E. 4). Sodann ist die Vorinstanz gehalten, der Grundeigentümerschaft der Parzelle Kat.-Nr. 02, über deren Erstellungskostenentschädigung für den Bau der befestigten Fläche südlich des E-Wegs neu zu befinden ist, Gelegenheit zur Beteiligung am erneuten Rekursverfahren einzuräumen.</w:t>
      </w:r>
    </w:p>
    <w:p>
      <w:r>
        <w:rPr>
          <w:b/>
        </w:rPr>
        <w:t>E. 8.1</w:t>
      </w:r>
    </w:p>
    <w:p>
      <w:r>
        <w:t>Bei diesem Verfahrensausgang sind die Gerichtskosten der unterliegenden Gemeinde C aufzuerlegen (§ 65a Abs. 2 in Verbindung mit § 13 Abs. 2 VRG).</w:t>
      </w:r>
    </w:p>
    <w:p>
      <w:r>
        <w:rPr>
          <w:b/>
        </w:rPr>
        <w:t>E. 8.2</w:t>
      </w:r>
    </w:p>
    <w:p>
      <w:r>
        <w:t>Der Beschwerdeführerin ist eine angemessene Parteientschädigung zuzusprechen (§ 17 Abs. 2 VRG). Bei deren Bemessung ist zu berücksichtigen, dass die Beschwerdeschrift in weiten Teilen wörtlich der Rekursschrift entspricht; für das Beschwerdeverfahren ist dem Vertreter der Beschwerdeführerin folglich nur ein geringer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