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VB.2020.00024 vom 28. Mai 2020</w:t>
      </w:r>
    </w:p>
    <w:p>
      <w:r>
        <w:t>ZH Verwaltungsgericht, 2020-05-28, DE</w:t>
      </w:r>
    </w:p>
    <w:p>
      <w:r>
        <w:rPr>
          <w:b/>
        </w:rPr>
        <w:t xml:space="preserve">Quelle: </w:t>
      </w:r>
      <w:r>
        <w:t>https://mcp.opencaselaw.ch/entscheid/zh_verwaltungsgericht__VB.2020.00024</w:t>
      </w:r>
    </w:p>
    <w:p>
      <w:r>
        <w:t>FR: ZH_VERWALTUNGSGERICHT VB.2020.00024 du 28 mai 2020</w:t>
      </w:r>
    </w:p>
    <w:p>
      <w:r>
        <w:t>IT: ZH_VERWALTUNGSGERICHT VB.2020.00024 del 28 maggio 2020</w:t>
      </w:r>
    </w:p>
    <w:p>
      <w:pPr>
        <w:pStyle w:val="Heading2"/>
      </w:pPr>
      <w:r>
        <w:t>Regeste</w:t>
      </w:r>
    </w:p>
    <w:p>
      <w:r>
        <w:t>Verweigerung der Fortsetzung des Ehevorbereitungsverfahrens und der Trauung (Nebenfolgen) | [Unentgeltliche Rechtspflege, Aussichtslosigkeit des Rekurses] Die Verlobten haben im Ehevorbereitungsverfahren ein Dokument zum Nachweis der Rechtmässigkeit ihres Aufenthalts in der Schweiz einzureichen, wobei die Zivilstandsbehörden einem bzw. einer ausländischen Verlobten genügend Zeit einräumen müssen, um an die zuständige Ausländerbehörde zu gelangen und eine entsprechende Bescheinigung bzw. eine (Kurz-)Aufenthaltsbewilligung zwecks Vorbereitung der Heirat zu erlangen (E. 3.2). Die den Beschwerdeführenden in diesem Zusammenhang gewährte Nachfrist von 60 Tagen bewegte sich an der oberen Grenze des in solchen Fällen Üblichen, weshalb sie nicht mit einer zusätzlichen Fristerstreckung rechnen konnten, es sei denn, es lägen ganz besondere Gründe vor. Solche Gründe aber machten die Beschwerdeführenden hier nicht geltend; der blosse Hinweis auf das hängige migrationsrechtliche Rekursverfahren rechtfertigte die beantragte Erstreckung bzw. Sistierung der 60-tägigen Nachweisfrist jedenfalls nicht (zum Ganzen E. 3.3). Demnach war der Rekurs der Beschwerdeführenden bereits im Zeitpunkt seiner Einreichung offensichtlich aussichtslos und wurde ihr Armenrechtsgesuch vom Beschwerdegegner zu Recht abgewiesen (E. 3.4). Abweisung UP/URB. Abweisung.</w:t>
      </w:r>
    </w:p>
    <w:p>
      <w:pPr>
        <w:pStyle w:val="Heading2"/>
      </w:pPr>
      <w:r>
        <w:t>Erwägungen</w:t>
      </w:r>
    </w:p>
    <w:p>
      <w:r>
        <w:rPr>
          <w:b/>
        </w:rPr>
        <w:t>E. 4</w:t>
      </w:r>
    </w:p>
    <w:p>
      <w:r>
        <w:t>Nach dem Gesagten ist die Beschwerde abzuweisen.</w:t>
      </w:r>
    </w:p>
    <w:p>
      <w:r>
        <w:rPr>
          <w:b/>
        </w:rPr>
        <w:t>E. 4.1</w:t>
      </w:r>
    </w:p>
    <w:p>
      <w:r>
        <w:t>Ausgangsgemäss sind die Gerichtskosten den Beschwerdeführenden unter solidarischer Haftung füreinander je zur Hälfte aufzuerlegen (vgl. § 65a Abs. 2 in Verbindung mit § 13 Abs. 2 Satz 1 und § 14 VRG; ferner Plüss, § 14 N. 4). Eine Parteientschädigung bleibt ihnen verwehrt (§ 17 Abs. 2 VRG). Der Beschwerdegegner verlangt ebenfalls die Zusprechung einer Parteientschädigung. Praxisgemäss ist einem Gemeinwesen nur unter besonderen Umständen eine Parteientschädigung zuzusprechen (RB 2008 Nr. 18 E. 2.3.1; Plüss, § 17 N. 51) . Da solche hier nicht vorliegen, ist auch dem Beschwerdegegner keine Parteientschädigung zuzusprechen.</w:t>
      </w:r>
    </w:p>
    <w:p>
      <w:r>
        <w:rPr>
          <w:b/>
        </w:rPr>
        <w:t>E. 4.2</w:t>
      </w:r>
    </w:p>
    <w:p>
      <w:r>
        <w:t>Angesichts des vorstehend Ausgeführten konnten die Beschwerdeführenden nicht ernsthaft mit einer Gutheissung ihrer Beschwerde rechnen. Ihr Armenrechtsgesuch für das Beschwerdeverfahren ist daher ebenfalls abzuweisen.</w:t>
      </w:r>
    </w:p>
    <w:p>
      <w:r>
        <w:rPr>
          <w:b/>
        </w:rPr>
        <w:t>E. 5</w:t>
      </w:r>
    </w:p>
    <w:p>
      <w:r>
        <w:t>Gegen dieses nur die Nichtgewährung der unentgeltlichen Rechtspflege und -vertretung betreffende Urteil steht das gleiche Rechtsmittel zur Verfügung, wie wenn es (auch noch) um die Hauptsache ginge (Plüss, § 16 N. 122), das heisst, es kann Beschwerde in Zivilsachen nach Art. 72 ff. des Bundesgerichtsgesetzes v om 17. Juni 2005 (SR 173.110)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