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VB.2020.00007 vom 18. November 2020</w:t>
      </w:r>
    </w:p>
    <w:p>
      <w:r>
        <w:t>ZH Verwaltungsgericht, 2020-11-18, DE</w:t>
      </w:r>
    </w:p>
    <w:p>
      <w:r>
        <w:rPr>
          <w:b/>
        </w:rPr>
        <w:t xml:space="preserve">Quelle: </w:t>
      </w:r>
      <w:r>
        <w:t>https://mcp.opencaselaw.ch/entscheid/zh_verwaltungsgericht__VB.2020.00007</w:t>
      </w:r>
    </w:p>
    <w:p>
      <w:r>
        <w:t>FR: ZH_VERWALTUNGSGERICHT VB.2020.00007 du 18 novembre 2020</w:t>
      </w:r>
    </w:p>
    <w:p>
      <w:r>
        <w:t>IT: ZH_VERWALTUNGSGERICHT VB.2020.00007 del 18 novembre 2020</w:t>
      </w:r>
    </w:p>
    <w:p>
      <w:pPr>
        <w:pStyle w:val="Heading2"/>
      </w:pPr>
      <w:r>
        <w:t>Regeste</w:t>
      </w:r>
    </w:p>
    <w:p>
      <w:r>
        <w:t>Aufenthaltsbewilligung EU/EFTA | [Aufenthaltsbewilligung EU/EFTA] Der Beschwerdeführerin erwächst aufgrund ihrer Ehe mit einem hier aufenthaltsberechtigten Angehörigen eines EU-Staats aus den freizügigkeitsrechtlichen Bestimmungen zum Familiennachzug ein Anwesenheitsanspruch (E. 3). Gutheissung. Gesuch um Gewährung unentgeltlicher Prozessführung als gegenstandslos geworden abgeschrieben. Gewährung unentgeltlichen Rechtsbeistands.</w:t>
      </w:r>
    </w:p>
    <w:p>
      <w:pPr>
        <w:pStyle w:val="Heading2"/>
      </w:pPr>
      <w:r>
        <w:t>Erwägungen</w:t>
      </w:r>
    </w:p>
    <w:p>
      <w:r>
        <w:rPr>
          <w:b/>
        </w:rPr>
        <w:t>E. 4</w:t>
      </w:r>
    </w:p>
    <w:p>
      <w:r>
        <w:t>Nach dem Gesagten ist die Beschwerde gutzuheissen und der Beschwerdegegner einzuladen, der Beschwerdeführerin eine Aufenthaltsbewilligung EU/EFTA zu erteilen.</w:t>
      </w:r>
    </w:p>
    <w:p>
      <w:r>
        <w:rPr>
          <w:b/>
        </w:rPr>
        <w:t>E. 5.1</w:t>
      </w:r>
    </w:p>
    <w:p>
      <w:r>
        <w:t>Wird ein Rechtsmittel gutgeheissen, ist auch über die Kostenfolge des vorinstanzlichen Verfahrens neu zu entscheiden. Eine Neuverteilung der Kosten des vorinstanzlichen Ver-fahrens ist allerdings dann nicht angezeigt, wenn die Gutheissung der Beschwerde Folge neuer Sachumstände ist, die dem vorinstanzlichen Verfahren noch nicht zugrunde lagen, und sich deshalb der vorinstanzliche Entscheid bei damaligem Sachverhalt auch aus heutiger Sicht als richtig erweist (VGr, 11. Juli 2018, VB.2017.00840, E. 6.1; Kaspar Plüss, in: Alain Griffel [Hrsg.], Kommentar zum Verwaltungsrechtspflegegesetz des Kantons Zürich [VRG], 3. A., Zürich etc. 2014 [Kommentar VRG], § 13 N. 66).</w:t>
      </w:r>
    </w:p>
    <w:p>
      <w:r>
        <w:rPr>
          <w:b/>
        </w:rPr>
        <w:t>E. 5.2</w:t>
      </w:r>
    </w:p>
    <w:p>
      <w:r>
        <w:t>Der vorinstanzliche Entscheid nimmt gestützt auf den damaligen Sachverhalt zu Recht an, dass die Beschwerdeführerin nicht (mehr) über einen freizügigkeitsrechtlichen Aufenthaltsanspruch in der Schweiz verfüge (vgl. Art. 23 Abs. 1 VEP). Die Beschwerdeführerin räumt denn auch ein, dass sie nach Beendigung des ihr Freizügigkeitsrecht begründenden Arbeitsverhältnisses Ende Juni 2015 nicht mehr (auf dem ersten Arbeitsmarkt) erwerbstätig war, ab Mai 2016 von der Fürsorge unterstützt werden musste und erst im Januar 2020 ein neues Arbeitsverhältnis antreten konnte.</w:t>
      </w:r>
    </w:p>
    <w:p>
      <w:r>
        <w:rPr>
          <w:b/>
        </w:rPr>
        <w:t>E. 5.3</w:t>
      </w:r>
    </w:p>
    <w:p>
      <w:r>
        <w:t>Die Gutheissung der Beschwerde ist demnach auf die erst nach Fällung des Rekursentscheids geschlossene Ehe mit einem hier aufenthaltsberechtigten EU-Staatsangehörigen zurückzuführen. Damit erweisen sich der vorinstanzliche Entscheid und die Ausgangsverfügung auch aus heutiger Sicht noch als richtig. Die vorinstanzliche Kostenregelung ist deshalb zu belassen.</w:t>
      </w:r>
    </w:p>
    <w:p>
      <w:r>
        <w:rPr>
          <w:b/>
        </w:rPr>
        <w:t>E. 6.1</w:t>
      </w:r>
    </w:p>
    <w:p>
      <w:r>
        <w:t>Ausgangsgemäss sind die Kosten des Beschwerdeverfahrens dem unterliegenden Beschwerdegegner aufzuerlegen (§ 65a Abs. 2 in Verbindung mit § 13 Abs. 2 Satz 1 VRG). Dieser ist zudem zu verpflichten, der Beschwerdeführerin bzw. deren Vertreter eine angemessene Parteientschädigung zu bezahlen (§ 17 Abs. 2 VRG).</w:t>
      </w:r>
    </w:p>
    <w:p>
      <w:r>
        <w:rPr>
          <w:b/>
        </w:rPr>
        <w:t>E. 6.2</w:t>
      </w:r>
    </w:p>
    <w:p>
      <w:r>
        <w:t>Weil der Beschwerdeführerin für das verwaltungsgerichtliche Verfahren keine Gerichtskosten aufzuerlegen sind, wird ihr Gesuch um Gewährung unentgeltlicher Prozessführung gegenstandslos. Zu prüfen bleibt ihr Gesuch um Bestellung eines unentgeltlichen Rechtsbeistands.</w:t>
      </w:r>
    </w:p>
    <w:p>
      <w:r>
        <w:rPr>
          <w:b/>
        </w:rPr>
        <w:t>E. 6.3</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Die Mittellosigkeit der Beschwerdeführerin ist zu bejahen; ihr Begehren kann angesichts des Verfahrensausgangs nicht als offensichtlich aussichtslos bezeichnet werden, und der Beizug eines Rechtsvertreters erscheint vorliegend gerechtfertigt. Folglich gilt es das Gesuch der Beschwerdeführerin um unentgeltliche Rechtsvertretung zu bewilligen und ihr in der Person ihres Vertreters für das Beschwerdeverfahren einen unentgeltlichen Rechtsbeistand zu bestellen.</w:t>
      </w:r>
    </w:p>
    <w:p>
      <w:r>
        <w:rPr>
          <w:b/>
        </w:rPr>
        <w:t>E. 6.4</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(LS 215.3) seit dem 1. Januar 2015 in der Regel Fr. 220.- pro Stunde. Der Rechtsvertreter der Beschwerdeführerin reichte am 30. Oktober 2020 eine Kosten note ein, in der er für seine Aufwendungen im Beschwerdeverfahren einen Aufwand von rund 14 Stunden sowie Barauslagen von Fr. 202.50 zuzüglich Mehrwertsteuer ausweist. Nachdem sich hier weder in rechtlicher noch in tatsächlicher Hinsicht besonders schwierige Fragen stellen, erscheint der geltend gemachte (Stunden-)Aufwand als zu hoch. Es ist ein solcher von 10 Stunden noch angemessen; die Kostennote des Rechtsvertreters ist entsprechend zu kürzen. Die Parteientschädigung für das Beschwerdeverfahren ist auf die Entschädigung des unentgeltlichen Rechtsbeistands anzurechnen. Demnach gilt es den Rechtsvertreter der Beschwerdeführerin für seinen Aufwand im verwaltungsgerichtlichen Verfahren mit Fr. 433.50 [Fr. 2'369.40 + Fr. 218.10 − Fr. 2'154.-] aus der Gerichtskasse zu entschädigen. Für diesen Betrag bleibt die Beschwerdeführerin nach § 65a Abs. 2 in Verbindung mit § 16 Abs. 4 VRG zur Nachzahlung verpflichtet, sobald sie dazu in der Lage ist. Der Anspruch des Kantons verjährt zehn Jahre nach Abschluss des Verfahrens.</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