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VB.2019.00831 vom 16. Juli 2013</w:t>
      </w:r>
    </w:p>
    <w:p>
      <w:r>
        <w:t>ZH Verwaltungsgericht, 2013-07-16, DE</w:t>
      </w:r>
    </w:p>
    <w:p>
      <w:r>
        <w:rPr>
          <w:b/>
        </w:rPr>
        <w:t xml:space="preserve">Quelle: </w:t>
      </w:r>
      <w:r>
        <w:t>https://mcp.opencaselaw.ch/entscheid/zh_verwaltungsgericht__VB.2019.00831</w:t>
      </w:r>
    </w:p>
    <w:p>
      <w:r>
        <w:t>FR: ZH_VERWALTUNGSGERICHT VB.2019.00831 du 16 juillet 2013</w:t>
      </w:r>
    </w:p>
    <w:p>
      <w:r>
        <w:t>IT: ZH_VERWALTUNGSGERICHT VB.2019.00831 del 16 luglio 2013</w:t>
      </w:r>
    </w:p>
    <w:p>
      <w:pPr>
        <w:pStyle w:val="Heading2"/>
      </w:pPr>
      <w:r>
        <w:t>Regeste</w:t>
      </w:r>
    </w:p>
    <w:p>
      <w:r>
        <w:t>Familiennachzug | [Familiennachzug betreffend Ehefrau und leiblichen Sohn (geb. 2003) zwei Jahre nach der Heirat im Jahr 2015] Das Bundesgericht hielt bislang in konstanter Praxis dafür, dass sich der nach einer Heirat nachgezogene Elternteil die vom hier lebenden (nachziehenden) Elternteil verpassten Fristen entgegenhalten lassen müsse und die Eltern insofern als Einheit zu betrachten seien. Eine Einheit im Sinn dieser Rechtsprechung kann aber nur dann angenommen werden, wenn das auf Distanz gelebte Familienleben auf einen gemeinsamen Entschluss der Eheleute bzw. Eltern zurückgeht; und nur in diesem Fall kann das Verpassen der Nachzugsfrist durch den in der Schweiz anwesenheitsberechtigten Ehegatten bzw. Elternteil dem anderen auch vorgeworfen werden. Ansonsten würde eine in der Sache nicht begründbare Abweichung zu Fällen geschaffen, in denen der nachgezogene bzw. nachzuziehende Ehegatte Kinder aus einer anderen Beziehung hat (E. 2.1.1). Das erst gut zwei Jahre nach der Heirat gestellte Einreisegesuch durch den Vater und Ehemann erweist sich deshalb als verspätet. Es ist davon auszugehen, dass das Familienleben auf Distanz während dieser zwei Jahre auf einen gemeinsamen Entschluss der Ehegatten zurückgeht; die Mutter muss sich diesen ebenfalls entgegenhalten lassen (E. 2.1.2). Ein wichtiger Grund für einen nachträglichen Familiennachzug zum Vater und der Mutter in der Schweiz ist nicht gegeben (E. 2.3 f.). Abweisung UP/URB. Abweisung.</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2 Satz 1 VRG).</w:t>
      </w:r>
    </w:p>
    <w:p>
      <w:r>
        <w:rPr>
          <w:b/>
        </w:rPr>
        <w:t>E. 5.2</w:t>
      </w:r>
    </w:p>
    <w:p>
      <w:r>
        <w:t>Für das verwaltungsgerichtliche Verfahren beantragt der Beschwerdeführer die unentgeltliche Prozessführung. Nach § 16 Abs. 1 VRG ist Privaten, welchen die nötigen Mittel fehlen und deren Begehren nicht offensichtlich aussichtslos erscheint, auf entsprechendes Ersuchen die Bezahlung von Verfahrenskosten und Kostenvorschüssen zu erlassen. Offensichtlich aussichtslos sind Begehren, bei denen die Aussichten zu obsiegen wesentlich geringer sind als die Aussichten zu unterliegen und die deshalb kaum als ernsthaft bezeichnet werden können (VGr, 22. August 2018, VB.2018.0396, E. 7.2 – 15. August 2016, VB.2016.00260, E. 5.2.1 Abs. 2).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[Kommentar VRG],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Kommentar VRG, § 16 N. 38).</w:t>
      </w:r>
    </w:p>
    <w:p>
      <w:r>
        <w:rPr>
          <w:b/>
        </w:rPr>
        <w:t>E. 5.3</w:t>
      </w:r>
    </w:p>
    <w:p>
      <w:r>
        <w:t>Das pauschale Vorbringen des anwaltlich vertretenen Beschwerdeführers, er sei "offensichtlich mittellos" reicht nicht aus, um die Bedürftigkeit des Beschwerdeführers zu bejahen . Vielmehr hätten dazu die Einkommens- und Lebenshaltungskosten (insbesondere auch der gesetzlichen Vertreter) des Beschwerdeführers umfassend dargestellt und soweit wie möglich belegt werden müssen. Das Gesuch um unentgeltliche Rechtspflege und -vertretung ist demnach abzuweisen.</w:t>
      </w:r>
    </w:p>
    <w:p>
      <w:r>
        <w:rPr>
          <w:b/>
        </w:rPr>
        <w:t>E. 5.4</w:t>
      </w:r>
    </w:p>
    <w:p>
      <w:r>
        <w:t>Eine Parteientschädigung ist dem Beschwerdeführer ausgangsgemäss nicht zuzusprechen (§ 17 Abs. 2 VRG).</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