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VB.2019.00786 vom 23. März 2020</w:t>
      </w:r>
    </w:p>
    <w:p>
      <w:r>
        <w:t>ZH Verwaltungsgericht, 2020-03-23, DE</w:t>
      </w:r>
    </w:p>
    <w:p>
      <w:r>
        <w:rPr>
          <w:b/>
        </w:rPr>
        <w:t xml:space="preserve">Quelle: </w:t>
      </w:r>
      <w:r>
        <w:t>https://mcp.opencaselaw.ch/entscheid/zh_verwaltungsgericht__VB.2019.00786</w:t>
      </w:r>
    </w:p>
    <w:p>
      <w:r>
        <w:t>FR: ZH_VERWALTUNGSGERICHT VB.2019.00786 du 23 mars 2020</w:t>
      </w:r>
    </w:p>
    <w:p>
      <w:r>
        <w:t>IT: ZH_VERWALTUNGSGERICHT VB.2019.00786 del 23 marzo 2020</w:t>
      </w:r>
    </w:p>
    <w:p>
      <w:pPr>
        <w:pStyle w:val="Heading2"/>
      </w:pPr>
      <w:r>
        <w:t>Regeste</w:t>
      </w:r>
    </w:p>
    <w:p>
      <w:r>
        <w:t>Festsetzung Strassenprojekt | Festsetzung Strassenprojekt Die Beschwerdeführerin ist nicht in direkter Nähe des streitbetroffenen Strassenabschnitts wohnhaft und folglich nicht als Anwohnerin zu qualifizieren. Der Umstand, dass sie aufgrund ihres Wohnorts auf das Auto angewiesen sei, ist für sich alleine nicht legitimationsbegründend. Aus den Akten ergibt sich nicht, dass die Beschwerdeführerin den streitbetroffenen Strassenabschnitt namentlich aus beruflichen Gründen regelmässig befahren würde. Bloss gelegentliches Befahren des streitbetroffenen Strassenabschnitts genügt zur Legitimationsbegründung nicht. Die Einsprachelegitimation der Beschwerdeführerin ist folglich bereits mangels regelmässiger Nutzung des streitbetroffenen Strassenabschnitts nicht gegeben. Darüber hinaus ist nicht ersichtlich, inwiefern das umstrittene Strassenprojekt für die Beschwerdeführerin Beeinträchtigungen von einer gewissen Intensität zur Folge hätte. Vor diesem Hintergrund ist nicht zu beanstanden, dass die Vorinstanz die besondere Betroffenheit der Beschwerdeführerin verneint hat und auf ihre Einsprache nicht eingetreten ist (E. 2). Abweisung der Beschwerde.</w:t>
      </w:r>
    </w:p>
    <w:p>
      <w:pPr>
        <w:pStyle w:val="Heading2"/>
      </w:pPr>
      <w:r>
        <w:t>Erwägungen</w:t>
      </w:r>
    </w:p>
    <w:p>
      <w:r>
        <w:rPr>
          <w:b/>
        </w:rPr>
        <w:t>E. 3</w:t>
      </w:r>
    </w:p>
    <w:p>
      <w:r>
        <w:t>Bei diesem Ausgang des Verfahrens sind die Kosten der unterliegenden Beschwerdeführerin aufzuerlegen (§ 65a Abs. 2 in Verbindung mit § 13 Abs. 2 VRG). Eine Parteientschädigung hat die Beschwerdeführerin nicht beantragt und wäre ihr angesichts ihres Unterliegens auch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