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VB.2019.00766 vom 28. Mai 2020</w:t>
      </w:r>
    </w:p>
    <w:p>
      <w:r>
        <w:t>ZH Verwaltungsgericht, 2020-05-28, DE</w:t>
      </w:r>
    </w:p>
    <w:p>
      <w:r>
        <w:rPr>
          <w:b/>
        </w:rPr>
        <w:t xml:space="preserve">Quelle: </w:t>
      </w:r>
      <w:r>
        <w:t>https://mcp.opencaselaw.ch/entscheid/zh_verwaltungsgericht__VB.2019.00766</w:t>
      </w:r>
    </w:p>
    <w:p>
      <w:r>
        <w:t>FR: ZH_VERWALTUNGSGERICHT VB.2019.00766 du 28 mai 2020</w:t>
      </w:r>
    </w:p>
    <w:p>
      <w:r>
        <w:t>IT: ZH_VERWALTUNGSGERICHT VB.2019.00766 del 28 maggio 2020</w:t>
      </w:r>
    </w:p>
    <w:p>
      <w:pPr>
        <w:pStyle w:val="Heading2"/>
      </w:pPr>
      <w:r>
        <w:t>Regeste</w:t>
      </w:r>
    </w:p>
    <w:p>
      <w:r>
        <w:t>Lohn für Umkleidezeit | [Lohn für Umkleidezeit rückwirkend ab dem 1. März 2014] Streitpunkt bildet die Frage, ob die Beschwerdeführenden für die Umkleidezeit vor Schichtbeginn und nach Schichtende Anspruch auf Anrechnung als bezahlte Arbeitszeit haben. Im Ergebnis geht es hier um eine Weisung des Arbeitgebers, wonach die Angestellten während der gesamten entschädigten Arbeitszeit vom Arbeitgeber zur Verfügung gestellte Arbeitskleider tragen müssen, bzw. um die Frage, ob die Umkleidezeit im für die angerechnete Arbeitszeit ausgerichteten Monatslohn bereits inbegriffen ist. Insgesamt hat der Beschwerdegegner mit seiner Weisung den ihm zustehenden Spielraum bei der Auslegung des eigenen Personalreglements nicht überschritten (E. 3.2). Die Praxis, dass die Umkleidezeit nicht zur bezahlten Arbeitszeit zählt bzw. als im Monatslohn inbegriffen gilt, verstösst nicht gegen übergeordnetes Recht (E. 3.3). Abweisung.</w:t>
      </w:r>
    </w:p>
    <w:p>
      <w:pPr>
        <w:pStyle w:val="Heading2"/>
      </w:pPr>
      <w:r>
        <w:t>Erwägungen</w:t>
      </w:r>
    </w:p>
    <w:p>
      <w:r>
        <w:rPr>
          <w:b/>
        </w:rPr>
        <w:t>E. 4</w:t>
      </w:r>
    </w:p>
    <w:p>
      <w:r>
        <w:t>Nach dem Gesagten erweist sich die Weisung des Beschwerdegegners, wonach die Angestellten während der gesamten entschädigten Arbeitszeit vom Arbeitgeber zur Verfügung gestellte Arbeitskleider tragen müssen und die Umkleidezeit demnach nicht entschädigt wird, nicht als rechtswidrig. Das führt zur Abweisung der Beschwerde.</w:t>
      </w:r>
    </w:p>
    <w:p>
      <w:r>
        <w:rPr>
          <w:b/>
        </w:rPr>
        <w:t>E. 5</w:t>
      </w:r>
    </w:p>
    <w:p>
      <w:r>
        <w:t>Der Streitwert bestimmt sich hier nach dem Lohn, den die Beschwerdeführenden für die geltend gemachte zusätzliche Arbeitszeit erhalten hätten. Er beträgt für den Beschwerde­führer 1 Fr. 2'404.35, für die Beschwerdeführerin 2 Fr. 8'763.65, für die Beschwerde­führerin 3 Fr. 10'016.65 und für die Beschwerdeführerin 4 Fr. 8'771.05. Weil der Streitwert damit sowohl für die einzelnen Beschwerdeführenden als auch in der Summe der Anträge weniger als Fr. 30'000.- beträgt, sind die Gerichtskosten auf die Gerichtskasse zu nehmen (§ 65a Abs. 3 VRG). Ausgangsgemäss ist den Beschwerdeführenden keine Parteientschädigung zuzusprechen (§ 17 Abs. 2 VRG). Der in seinem amtlichen Wirkungskreis tätig gewordene Beschwerdegegner hat praxisgemäss ebenfalls keinen Anspruch auf eine Parteientschädigung (vgl. den Beschwerdegegner betreffend VGr, 28. Mai 2020, VB.2019.00673, E. 7.2).</w:t>
      </w:r>
    </w:p>
    <w:p>
      <w:r>
        <w:rPr>
          <w:b/>
        </w:rPr>
        <w:t>E. 6</w:t>
      </w:r>
    </w:p>
    <w:p>
      <w:r>
        <w:t>Gegen diesen Entscheid lässt sich nur Beschwerde in öffentlich-rechtliche Angelegenheiten gemäss Art. 82 ff. des Bundesgerichtsgesetzes vom 17. Juni 2005 (BGG, SR 173.110) führen, sofern das Bundesgericht von einem Streitwert von mindestens Fr. 15'000.- ausgeht oder sich eine Rechtsfrage von grundsätzlicher Bedeutung stellt (Art. 85 Abs. 1 lit. b und Abs. 2 BGG). Ansonsten steht nur die subsidiäre Verfassungsbeschwerde gemäss Art. 113 ff. BGG offen. Werden beide Rechtsmittel ergriffen, hat dies in der gleichen Rechtsschrift zu geschehen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