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VB.2019.00759 vom 13. Dezember 2013</w:t>
      </w:r>
    </w:p>
    <w:p>
      <w:r>
        <w:t>ZH Verwaltungsgericht, 2013-12-13, DE</w:t>
      </w:r>
    </w:p>
    <w:p>
      <w:r>
        <w:rPr>
          <w:b/>
        </w:rPr>
        <w:t xml:space="preserve">Quelle: </w:t>
      </w:r>
      <w:r>
        <w:t>https://mcp.opencaselaw.ch/entscheid/zh_verwaltungsgericht__VB.2019.00759</w:t>
      </w:r>
    </w:p>
    <w:p>
      <w:r>
        <w:t>FR: ZH_VERWALTUNGSGERICHT VB.2019.00759 du 13 décembre 2013</w:t>
      </w:r>
    </w:p>
    <w:p>
      <w:r>
        <w:t>IT: ZH_VERWALTUNGSGERICHT VB.2019.00759 del 13 dicembre 2013</w:t>
      </w:r>
    </w:p>
    <w:p>
      <w:pPr>
        <w:pStyle w:val="Heading2"/>
      </w:pPr>
      <w:r>
        <w:t>Regeste</w:t>
      </w:r>
    </w:p>
    <w:p>
      <w:r>
        <w:t>Widerruf der Aufenthaltsbewilligung EU/EFTA | [Widerruf einer Aufenthaltsbewilligung EU/EFTA (Wiedererwägungsgesuch)] Der Beschwerdeführer (Drittstaatsangehöriger) heiratete 2011 eine hier niedergelassene EU-/EFTA-Staatsangehörige, mit der er eine 2012 geborene Tochter hat. Nach einer Scheidung im Jahr 2016 heirateten die Ehegatten im September 2017 ein zweites Mal (damals bereits in zeitlicher Korrelation mit einer angeordneten Wegweisung). Nachdem sich die Ehegatten bereits im März 2018 wieder gerichtlich getrennt hatten, verfügte der Beschwerdegegner den Widerruf der Aufenthaltsbewilligung EU/EFTA des Beschwerdeführers. Wenige Tage nach Erhalt dieser Verfügung machte dieser im Rahmen eines Wiedererwägungsgesuchs erneut eine bevorstehende Versöhnung mit seiner Ehefrau geltend und dass er wieder bei dieser einziehen werde. (Bereits vor dem Rekursentscheid zog die Ehefrau mit der Tochter wieder aus.) Der Beschwerdegegner ging bei seiner Beurteilung des Gesuchs aufgrund des zeitlichen Ablaufs der Ereignisse zu Recht von einer rechtsmissbräuchlichen Berufung auf eine nur noch formal bestehende Ehe aus. Zumindest seitens der Ehefrau besteht kein Ehewille mehr (E. 3.2.2). Abweisung UP/URB. Abweisung.</w:t>
      </w:r>
    </w:p>
    <w:p>
      <w:pPr>
        <w:pStyle w:val="Heading2"/>
      </w:pPr>
      <w:r>
        <w:t>Erwägungen</w:t>
      </w:r>
    </w:p>
    <w:p>
      <w:r>
        <w:rPr>
          <w:b/>
        </w:rPr>
        <w:t>E. 4</w:t>
      </w:r>
    </w:p>
    <w:p>
      <w:r>
        <w:t>Die Beschwerde ist dementsprechend abzuweisen.</w:t>
      </w:r>
    </w:p>
    <w:p>
      <w:r>
        <w:rPr>
          <w:b/>
        </w:rPr>
        <w:t>E. 5</w:t>
      </w:r>
    </w:p>
    <w:p>
      <w:r>
        <w:t>Ausgangsgemäss sind die Gerichtskosten dem Beschwerdeführer aufzuerlegen und steht diesem keine Parteientschädigung zu (§ 65a Abs. 2 in Verbindung mit § 13 Abs. 2 Satz 1 VRG sowie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