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VB.2019.00722 vom 27. Februar 2020</w:t>
      </w:r>
    </w:p>
    <w:p>
      <w:r>
        <w:t>ZH Verwaltungsgericht, 2020-02-27, DE</w:t>
      </w:r>
    </w:p>
    <w:p>
      <w:r>
        <w:rPr>
          <w:b/>
        </w:rPr>
        <w:t xml:space="preserve">Quelle: </w:t>
      </w:r>
      <w:r>
        <w:t>https://mcp.opencaselaw.ch/entscheid/zh_verwaltungsgericht__VB.2019.00722</w:t>
      </w:r>
    </w:p>
    <w:p>
      <w:r>
        <w:t>FR: ZH_VERWALTUNGSGERICHT VB.2019.00722 du 27 février 2020</w:t>
      </w:r>
    </w:p>
    <w:p>
      <w:r>
        <w:t>IT: ZH_VERWALTUNGSGERICHT VB.2019.00722 del 27 febbraio 2020</w:t>
      </w:r>
    </w:p>
    <w:p>
      <w:pPr>
        <w:pStyle w:val="Heading2"/>
      </w:pPr>
      <w:r>
        <w:t>Regeste</w:t>
      </w:r>
    </w:p>
    <w:p>
      <w:r>
        <w:t>Verlängerung der Aufenthaltsbewilligung | [Nachehelicher Aufenthaltsanspruch eines Tunesiers nach acht Jahren Aufenthalt und mehr als dreijähriger Ehe mit einer Schweizerin] Der Beschwerdeführer wurde während seiner Anwesenheit mehrmals straffällig (E. 3.3.1). Ausserdem sind mehrere eingestellte Strafverfahren wegen ehelicher Gewalt gegen ihn dokumentiert. Diese können im Zusammenhang mit der Integration in die ausländerrechtliche Interessenabwägung miteinbezogen werden (E. 3.3.2). Mit Blick auf seine berufliche, sprachliche und soziale Eingliederung kann dem Beschwerdeführer in Anbetracht der von ihm erwirkten Strafen sowie der gegenüber seiner ehemaligen Ehefrau dokumentierten Gewalt insgesamt keine erfolgreiche Integration attestiert werden (E. 3.3.4). Abweisung UP/URB. Abweisung.</w:t>
      </w:r>
    </w:p>
    <w:p>
      <w:pPr>
        <w:pStyle w:val="Heading2"/>
      </w:pPr>
      <w:r>
        <w:t>Erwägungen</w:t>
      </w:r>
    </w:p>
    <w:p>
      <w:r>
        <w:rPr>
          <w:b/>
        </w:rPr>
        <w:t>E. 4</w:t>
      </w:r>
    </w:p>
    <w:p>
      <w:r>
        <w:t>Der Beschwerdeführer kann des Weiteren auch keinen Anwesenheitsanspruch aus dem in Art. 8 Abs. 1 der Europäischen Menschenrechtskonvention (EMRK, SR 0.101) bzw. Art. 13 Abs. 1 der Bundesverfassung vom 18. April 1999 (BV, SR 101) garantierten Schutz des Privat- und Familienlebens ableiten (vgl. statt vieler BGE 144 I 266 E. 3.3 f. mit zahlreichen Hinweisen). Dies macht er denn auch nicht geltend.</w:t>
      </w:r>
    </w:p>
    <w:p>
      <w:r>
        <w:rPr>
          <w:b/>
        </w:rPr>
        <w:t>E. 5.1</w:t>
      </w:r>
    </w:p>
    <w:p>
      <w:r>
        <w:t>Da der Beschwerdeführer weder aus dem Völkerrecht noch aus dem Landesrecht einen Anspruch auf Anwesenheit in der Schweiz ableiten kann, hatte die Vorinstanz die Frage der (Wieder-)Erteilung einer Aufenthaltsbewilligung nach Massgabe der allgemeinen Zulassungsvoraussetzungen von Art. 18–29 AIG und damit nach pflichtgemässem Ermessen zu prüfen (BGr, 16. Juni 2016, 2C_367/2016, E. 2; VGr, 22. November 2017, VB.2017.00492, E. 4.1).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[Kommentar VRG], § 50 N. 25 f.).</w:t>
      </w:r>
    </w:p>
    <w:p>
      <w:r>
        <w:rPr>
          <w:b/>
        </w:rPr>
        <w:t>E. 5.2</w:t>
      </w:r>
    </w:p>
    <w:p>
      <w:r>
        <w:t>Der Beschwerdeführer verbrachte die prägenden Kinder- und Jugendjahre in seinem Heimatland und besuchte dort die Sekundarschule sowie eine Handelsschule, ohne Letztere jedoch abzuschliessen; im Zeitpunkt seiner Ausreise war er bereits 34 Jahre alt. In seiner Heimat hatte er gemäss eigenen Angaben "viele Jobs", namentlich als Maler und Chauffeur. In Tunesien leben neben seinen Eltern auch die zwei Brüder und sechs der insgesamt sieben Schwestern des Beschwerdeführers; zu diesen hat er gemäss eigenen Angaben regelmässig Kontakt. In der Schweiz lebt der Beschwerdeführer zwar seit rund acht Jahren; er wurde während dieser Zeit jedoch mehrmals straffällig, weshalb – wie aufgezeigt – keine erfolgreiche Integration vorliegt. Auch die (angebliche) Beziehung zu J führt zu keinem anderen Ergebnis. Insgesamt ist der Schluss von Beschwerdegegner und Vorinstanz, die Aufenthaltsbewilligung im Rahmen des pflichtgemässen Ermessens nicht zu verlängern, daher nicht rechtsfehlerhaft.</w:t>
      </w:r>
    </w:p>
    <w:p>
      <w:r>
        <w:rPr>
          <w:b/>
        </w:rPr>
        <w:t>E. 6</w:t>
      </w:r>
    </w:p>
    <w:p>
      <w:r>
        <w:t>Nach dem Gesagten ist die Beschwerde abzuweisen.</w:t>
      </w:r>
    </w:p>
    <w:p>
      <w:r>
        <w:rPr>
          <w:b/>
        </w:rPr>
        <w:t>E. 7.1</w:t>
      </w:r>
    </w:p>
    <w:p>
      <w:r>
        <w:t>Ausgangsgemäss sind die Gerichtskosten dem Beschwerdeführer aufzuerlegen und ist diesem keine Parteientschädigung zuzusprechen (§ 65a Abs. 2 in Verbindung mit § 13 Abs. 2 Satz 1 sowie § 17 Abs. 2 VRG).</w:t>
      </w:r>
    </w:p>
    <w:p>
      <w:r>
        <w:rPr>
          <w:b/>
        </w:rPr>
        <w:t>E. 7.2</w:t>
      </w:r>
    </w:p>
    <w:p>
      <w:r>
        <w:t>Für das verwaltungsgerichtliche Verfahren beantragt der Beschwerdeführer die unentgeltliche Rechtspflege und -vertretung. Nach § 16 Abs. 1 VRG ist Privaten, welchen die nötigen Mittel fehlen und deren Begehren nicht offensichtlich aussichtslos erscheint, auf entsprechendes Ersuchen die Bezahlung von Verfahrenskosten und Kostenvorschüssen zu erlassen. Offensichtlich aussichtslos sind Begehren, bei denen die Aussichten zu obsiegen wesentlich geringer sind als die Aussichten zu unterliegen und die deshalb kaum als ernsthaft bezeichnet werden können (VGr, 22. August 2018, VB.2018.0396, E. 7.2 – 15. August 2016, VB.2016.00260, E. 5.2.1 Abs. 2). Mittellos ist, wer nicht in der Lage ist, die Gerichtskosten aus seinem Einkommen – nach Abzug der Lebenshaltungskosten – innert angemessener Frist zu bezahlen (Kaspar Plüss, Kommentar VRG, § 16 N. 20). Die Bedürftigkeit ist aufgrund der gesamten finanziellen Verhältnisse der betreffenden Person zu beurteilen, das heisst unter Berücksichtigung sämtlicher Einkünfte und der Vermögenssituation einerseits und sämtlicher finanzieller Verpflichtungen anderseits. Den Nachweis der Mittellosigkeit hat grundsätzlich die gesuchstellende Person zu erbringen (Plüss, § 16 N. 38).</w:t>
      </w:r>
    </w:p>
    <w:p>
      <w:r>
        <w:rPr>
          <w:b/>
        </w:rPr>
        <w:t>E. 7.3</w:t>
      </w:r>
    </w:p>
    <w:p>
      <w:r>
        <w:t>In Anbetracht der Straffälligkeit des Beschwerdeführers und der dokumentierten Gewalt gegenüber seiner ehemaligen Ehefrau ist die Beschwerde als offensichtlich aussichtslos zu qualifizieren. Bereits aus diesem Grund ist das Gesuch um unentgeltliche Rechtspflege und -vertretung abzuweisen. Hinzu kommt, dass die Mittellosigkeit des Beschwerdeführers nicht nachgewiesen ist. Der anwaltlich vertretene Beschwerdeführer hätte dazu seine Einkommens- und Lebenshaltungskosten soweit wie möglich belegen müssen. Dies hat er jedoch nicht getan, sondern einzig ausgeführt, dass Belege nachgereicht würden.</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