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VB.2019.00605 vom 14. Mai 2020</w:t>
      </w:r>
    </w:p>
    <w:p>
      <w:r>
        <w:t>ZH Verwaltungsgericht, 2020-05-14, DE</w:t>
      </w:r>
    </w:p>
    <w:p>
      <w:r>
        <w:rPr>
          <w:b/>
        </w:rPr>
        <w:t xml:space="preserve">Quelle: </w:t>
      </w:r>
      <w:r>
        <w:t>https://mcp.opencaselaw.ch/entscheid/zh_verwaltungsgericht__VB.2019.00605</w:t>
      </w:r>
    </w:p>
    <w:p>
      <w:r>
        <w:t>FR: ZH_VERWALTUNGSGERICHT VB.2019.00605 du 14 mai 2020</w:t>
      </w:r>
    </w:p>
    <w:p>
      <w:r>
        <w:t>IT: ZH_VERWALTUNGSGERICHT VB.2019.00605 del 14 maggio 2020</w:t>
      </w:r>
    </w:p>
    <w:p>
      <w:pPr>
        <w:pStyle w:val="Heading2"/>
      </w:pPr>
      <w:r>
        <w:t>Regeste</w:t>
      </w:r>
    </w:p>
    <w:p>
      <w:r>
        <w:t>Niederlassungsbewilligung | [(Vorzeitige) Erteilung der Niederlassungsbewilligung an einen 36-jährigen Staatsangehörigen Mauritius'] Der Beschwerdeführer ist seit 2017 mit einer deutschen Staatsangehörigen verheiratet; daraus kann er jedoch keinen Anspruch auf Erteilung einer Niederlassungsbewilligung ableiten (E. 2). Der Beschwerdeführer hält sich seit 2009 in der Schweiz auf und war seither an der ETH Zürich als Doktorand immatrikuliert. Dass er neben seiner Ausbildung erwerbstätig war, ändert nichts am Umstand, dass der Hauptzweck seines Aufenthalts die Ausbildung war. Demnach erfüllt er die zeitlichen Voraussetzungen von Art. 34 Abs. 2 lit. a bzw. Abs. 4 in Verbindung mit Abs. 5 AIG (dauerhafter Aufenthalt während fünf Jahren) nicht (E. 3).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 65a Abs. 2 in Verbindung mit § 13 Abs. 2 Satz 1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