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VB.2019.00587 vom 4. September 2003</w:t>
      </w:r>
    </w:p>
    <w:p>
      <w:r>
        <w:t>ZH Verwaltungsgericht, 2003-09-04, DE</w:t>
      </w:r>
    </w:p>
    <w:p>
      <w:r>
        <w:rPr>
          <w:b/>
        </w:rPr>
        <w:t xml:space="preserve">Quelle: </w:t>
      </w:r>
      <w:r>
        <w:t>https://mcp.opencaselaw.ch/entscheid/zh_verwaltungsgericht__VB.2019.00587</w:t>
      </w:r>
    </w:p>
    <w:p>
      <w:r>
        <w:t>FR: ZH_VERWALTUNGSGERICHT VB.2019.00587 du 4 septembre 2003</w:t>
      </w:r>
    </w:p>
    <w:p>
      <w:r>
        <w:t>IT: ZH_VERWALTUNGSGERICHT VB.2019.00587 del 4 settembre 2003</w:t>
      </w:r>
    </w:p>
    <w:p>
      <w:pPr>
        <w:pStyle w:val="Heading2"/>
      </w:pPr>
      <w:r>
        <w:t>Regeste</w:t>
      </w:r>
    </w:p>
    <w:p>
      <w:r>
        <w:t>Aufenthaltsbewilligung EU/EFTA | Nichtleistung der Kaution. Auf die Beschwerde ist androhungsgemäss nicht einzutreten, nachdem das Gesuch um unentgeltliche Rechtspflege zufolge offentsichtlicher Aussichtslosigkeit abgewiesen wurde und der Beschwerdeführer die ihm auferlegte Kaution nicht geleistet hatte (E. 1.2). Kein Einfluss der Beschwerdemöglichkeit ans Bundesgericht auf den Lauf der Kautionsfrist (E. 1.3). Regelung der Kosten- und Entschädigungsfolgen sowie Rechtsmittelbelehrung (E. 2 und 3). Nichteintreten.</w:t>
      </w:r>
    </w:p>
    <w:p>
      <w:pPr>
        <w:pStyle w:val="Heading2"/>
      </w:pPr>
      <w:r>
        <w:t>Erwägungen</w:t>
      </w:r>
    </w:p>
    <w:p>
      <w:r>
        <w:rPr>
          <w:b/>
        </w:rPr>
        <w:t>E. 2</w:t>
      </w:r>
    </w:p>
    <w:p>
      <w:r>
        <w:t>Bei diesem Verfahrensausgang sind die reduzierten Gerichtskosten dem Beschwerdeführer aufzuerlegen (§ 13 Abs. 2 in Verbindung mit § 65a Abs. 2 VRG und § 4 Abs. 2 der Gebührenverordnung des Verwaltungsgerichts vom 3. Juli 2018 [GebV VGr]) und steht ihm keine Parteientschädigung zu (§ 17 Abs. 2 VRG). Mit vorliegendem Endentscheid ist das Gesuch um Wiederherstellung der aufschiebenden Wirkung gegenstandslos geworden.</w:t>
      </w:r>
    </w:p>
    <w:p>
      <w:r>
        <w:rPr>
          <w:b/>
        </w:rPr>
        <w:t>E. 3</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