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VB.2019.00575 vom 24. Juni 2020</w:t>
      </w:r>
    </w:p>
    <w:p>
      <w:r>
        <w:t>ZH Verwaltungsgericht, 2020-06-24, DE</w:t>
      </w:r>
    </w:p>
    <w:p>
      <w:r>
        <w:rPr>
          <w:b/>
        </w:rPr>
        <w:t xml:space="preserve">Quelle: </w:t>
      </w:r>
      <w:r>
        <w:t>https://mcp.opencaselaw.ch/entscheid/zh_verwaltungsgericht__VB.2019.00575</w:t>
      </w:r>
    </w:p>
    <w:p>
      <w:r>
        <w:t>FR: ZH_VERWALTUNGSGERICHT VB.2019.00575 du 24 juin 2020</w:t>
      </w:r>
    </w:p>
    <w:p>
      <w:r>
        <w:t>IT: ZH_VERWALTUNGSGERICHT VB.2019.00575 del 24 giugno 2020</w:t>
      </w:r>
    </w:p>
    <w:p>
      <w:pPr>
        <w:pStyle w:val="Heading2"/>
      </w:pPr>
      <w:r>
        <w:t>Regeste</w:t>
      </w:r>
    </w:p>
    <w:p>
      <w:r>
        <w:t>Widerruf der Niederlassungsbewilligung | [Widerruf der Niederlassungsbewilligung eines Italieners wegen Straffälligkeit] Der Beschwerdeführer wurde von 1996 bis 2018 im Wesentlichen wegen Widerhandlungen gegen das Betäubungsmittelgesetz und Einbruchsdelikten insgesamt mit 42 Monaten Freiheitsstrafe bestraft. Viele dieser Straftaten stehen im Zusammenhang mit seiner Suchtkrankheit (E. 3.2). Da der Beschwerdeführer Secondo ist und praktisch keine Beziehung zum Heimatland seiner Eltern hat, erweist sich der Widerruf der Niederlassungsbewilligung als unverhältnismässig (E. 3). Abschreibung des Gesuchs um UP/Gutheissung URB. Gutheissung.</w:t>
      </w:r>
    </w:p>
    <w:p>
      <w:pPr>
        <w:pStyle w:val="Heading2"/>
      </w:pPr>
      <w:r>
        <w:t>Erwägungen</w:t>
      </w:r>
    </w:p>
    <w:p>
      <w:r>
        <w:rPr>
          <w:b/>
        </w:rPr>
        <w:t>E. 4</w:t>
      </w:r>
    </w:p>
    <w:p>
      <w:r>
        <w:t>Die Beschwerde ist gutzuheissen.</w:t>
      </w:r>
    </w:p>
    <w:p>
      <w:r>
        <w:rPr>
          <w:b/>
        </w:rPr>
        <w:t>E. 5.1</w:t>
      </w:r>
    </w:p>
    <w:p>
      <w:r>
        <w:t>Ausgangsgemäss sind die Kosten des Rekurs- und des Beschwerdeverfahrens dem Beschwerdegegner aufzuerlegen (§ 13 Abs. 2 Satz 1 teilweise in Verbindung mit § 65a Abs. 2 VRG). Desgleichen hat dieser antragsgemäss eine angemessene Parteientschädigung von Fr. 2'000.- für das Rekurs- sowie Fr. 1'500.- für das Beschwerdeverfahren zu bezahlen (§ 17 Abs. 2 lit. a VRG).</w:t>
      </w:r>
    </w:p>
    <w:p>
      <w:r>
        <w:rPr>
          <w:b/>
        </w:rPr>
        <w:t>E. 5.2</w:t>
      </w:r>
    </w:p>
    <w:p>
      <w:r>
        <w:t>Der Beschwerdeführer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gegenstandslos. Der Beschwerdeführer ist sodann offenkundig mittellos, die Beschwerdeerhebung war begründet, und die Rechtsvertretung erweist sich angesichts der sich stellenden Rechtsfragen als notwendig. Demnach ist das Gesuch um unentgeltliche Rechtsvertretung gutzuheissen und dem Beschwerdeführer in der Person seines Rechtsvertreters ein unentgeltlicher Rechtsbeistand zu bestellen.</w:t>
      </w:r>
    </w:p>
    <w:p>
      <w:r>
        <w:rPr>
          <w:b/>
        </w:rPr>
        <w:t>E. 5.3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Der Rechtsvertreter des Beschwerdeführers macht insgesamt einen Aufwand von 18 Stunden und 15 Minuten geltend. Da ein grosser Teil dieses Aufwands für das Rekursverfahren entstanden ist, für welches der Beschwerdeführer keine unentgeltliche Rechtspflege beantragt hatte, ist der Aufwand entsprechend zu kürzen. Entschädigt wird der angemessene Aufwand von 6 Stunden und 15 Minuten, welcher für das Beschwerdeverfahren erbracht worden ist. Der Rechtsvertreter ist demnach für das verwaltungsgerichtliche Verfahren mit insgesamt Fr. 1'480.90 (inklusive Mehrwertsteuer) zu entschädigen. Damit beträgt die im Beschwerdeverfahren gewährte Entschädigung des unentgeltlichen Rechtsbeistands des Beschwerdeführers weniger als die diesem zugesprochene Parteientschädigung nach § 17 Abs. 2 VRG, weshalb die Parteientschädigung direkt dem Rechtsvertreter auszubezahlen ist.</w:t>
      </w:r>
    </w:p>
    <w:p>
      <w:r>
        <w:rPr>
          <w:b/>
        </w:rPr>
        <w:t>E. 6</w:t>
      </w:r>
    </w:p>
    <w:p>
      <w:r>
        <w:t>Gegen Entscheide über den Widerruf einer Niederlassungsbewilligung ist die Beschwerde in öffentlich-rechtlichen Angelegenheiten nach Art. 82 ff. des Bundesgerichtsgesetzes vom 17. Juni 2005 (BGG, SR 173.110) zulässig, weil grundsätzlich ein Anspruch auf das Fortbestehen dieser Bewilligung gegeben ist. Ansonsten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