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VB.2019.00532 vom 21. Februar 2020</w:t>
      </w:r>
    </w:p>
    <w:p>
      <w:r>
        <w:t>ZH Verwaltungsgericht, 2020-02-21, DE</w:t>
      </w:r>
    </w:p>
    <w:p>
      <w:r>
        <w:rPr>
          <w:b/>
        </w:rPr>
        <w:t xml:space="preserve">Quelle: </w:t>
      </w:r>
      <w:r>
        <w:t>https://mcp.opencaselaw.ch/entscheid/zh_verwaltungsgericht__VB.2019.00532</w:t>
      </w:r>
    </w:p>
    <w:p>
      <w:r>
        <w:t>FR: ZH_VERWALTUNGSGERICHT VB.2019.00532 du 21 février 2020</w:t>
      </w:r>
    </w:p>
    <w:p>
      <w:r>
        <w:t>IT: ZH_VERWALTUNGSGERICHT VB.2019.00532 del 21 febbraio 2020</w:t>
      </w:r>
    </w:p>
    <w:p>
      <w:pPr>
        <w:pStyle w:val="Heading2"/>
      </w:pPr>
      <w:r>
        <w:t>Regeste</w:t>
      </w:r>
    </w:p>
    <w:p>
      <w:r>
        <w:t>Disziplinarstrafe | Disziplinarstrafe. Aufgrund seiner widersprüchlichen Aussagen bestehen Zweifel, ob der Beschwerdegegner das Videomaterial tatsächlich sichtete. Mangels Sicherstellung kann der Inhalt der Aufnahmen bzw. deren Relevanz für den vorliegenden Sachverhalt jedenfalls nicht mehr rekonstruiert werden. Zu prüfen bleibt somit, ob sich der vermeintliche Schlag des Beschwerdeführers gegen das Gesicht eines Mitarbeiters der JVA Pöschwies in rechtsgenügender Weise aus den (noch) vorhandenen Akten ergibt (E. 4.1). Dies ist nicht der Fall. Der Rapport hält zwar fest, der Beschwerdeführer habe einen Mitarbeiter im Gesicht getroffen. Um welchen Mitarbeiter es sich dabei handelte, geht daraus aber nicht hervor, ebenso wenig, ob der rapportierende Mitarbeiter selber einer der eingreifenden Aufseher war, oder lediglich deren Schilderungen der Ereignisse festhielt. Unbekannt ist auch die Rolle des (anderen) Mitarbeiters der JVA Pöschwies, der die Anhörung des Beschwerdeführers durchführte. Der vermeintlich getroffene Aufseher oder weitere, beim Zwischenfall anwesende Mitarbeiter wurden, soweit ersichtlich, nicht angehört. Unter diesen Umständen hätte die Vorinstanz nicht ausschliesslich auf die Angaben im Rapport abstellen und sodann im Sinn der haftungsrechtlichen Adäquanzformel den Schluss ziehen dürfen, dass ein Schlag den Aufseher getroffen habe, sei nach dem gewöhnlichen Lauf der Dinge ohne Weiteres plausibel. Vielmehr ist der Sachverhalt aus den dargelegten Gründen, mindestens was den streitgegenständlichen Disziplinartatbestand angeht, nur ungenügend abgeklärt und hätten sich weitere – durchaus mögliche – Nachforschungen aufgedrängt (E. 4.2). Die Vorinstanz hat den Sachverhalt eingehender abzuklären und gestützt darauf einen neuen Entscheid zu fällen (E. 4.3). Teilweise Gutheissung und Rückweisung der Sache im Sinn der Erwägungen zur neuen Entscheidung an die Vorinstanz.</w:t>
      </w:r>
    </w:p>
    <w:p>
      <w:pPr>
        <w:pStyle w:val="Heading2"/>
      </w:pPr>
      <w:r>
        <w:t>Erwägungen</w:t>
      </w:r>
    </w:p>
    <w:p>
      <w:r>
        <w:rPr>
          <w:b/>
        </w:rPr>
        <w:t>E. 5.1</w:t>
      </w:r>
    </w:p>
    <w:p>
      <w:r>
        <w:t>Nach dem Gesagten sind in teilweiser Gutheissung der Beschwerde die Dispositivziffern I und II der Verfügung der Justizdirektion vom 18. Juni 2019 aufzuheben und die Sache im Sinn der Erwägungen zur neuen Entscheidung an die Vorinstanz zurückzuweisen.</w:t>
      </w:r>
    </w:p>
    <w:p>
      <w:r>
        <w:rPr>
          <w:b/>
        </w:rPr>
        <w:t>E. 5.2</w:t>
      </w:r>
    </w:p>
    <w:p>
      <w:r>
        <w:t>Nach der Rechtsprechung gilt eine Rückweisung mit offenem Prozessausgang in Bezug auf die Kosten- und Entschädigungsregelung als Obsiegen der rechtsmittelführenden Partei – und zwar unabhängig davon, welche Anträge diese gestellt hat (statt vieler VGr, 25. April 2019, VB.2017.00724, E. 5; BGr, 28. April 2014, 2C_846/2013, E. 3.2 f.; Donatsch, § 64 N. 5). Demnach hat der Beschwerdeführer als obsiegend zu gelten und sind die Kosten des vorliegenden Verfahrens nach § 65a Abs. 2 in Verbindung mit § 13 Abs. 2 VRG dem Beschwerdegegner aufzuerlegen. Dieser ist zudem zu verpflichten, dem Beschwerdeführer für das Beschwerdeverfahren eine Parteientschädigung zu bezahlen, wobei sich Fr. 1'000.- (zuzüglich 7,7 % Mehrwertsteuer) als angemessen erweisen (§ 17 Abs. 2 VRG).</w:t>
      </w:r>
    </w:p>
    <w:p>
      <w:r>
        <w:rPr>
          <w:b/>
        </w:rPr>
        <w:t>E. 5.3</w:t>
      </w:r>
    </w:p>
    <w:p>
      <w:r>
        <w:t>Über die Höhe und die Verlegung der Kosten des Rekursverfahrens wird die Justizdirektion im Rahmen ihres neuen Entscheids zu befinden haben, ebenso über den vom Beschwerdeführer mit Rekurs gestellten, in der Verfügung vom 18. Juni 2019 jedoch unbehandelt gebliebenen Antrag auf Zusprechung einer Parteientschädigung für das Rekursverfahren.</w:t>
      </w:r>
    </w:p>
    <w:p>
      <w:r>
        <w:rPr>
          <w:b/>
        </w:rPr>
        <w:t>E. 6</w:t>
      </w:r>
    </w:p>
    <w:p>
      <w:r>
        <w:t>Beim vorliegenden Urteil handelt es sich um einen Rückweisungsentscheid. Ein solcher wird grundsätzlich als Zwischenentscheid qualifiziert, der sich nur unter den Voraussetzungen von Art. 93 Abs. 1 des Bundesgerichtsgesetzes vom 17. Juni 2005 weiterziehen lässt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