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VB.2019.00475 vom 23. Oktober 2019</w:t>
      </w:r>
    </w:p>
    <w:p>
      <w:r>
        <w:t>ZH Verwaltungsgericht, 2019-10-23, DE</w:t>
      </w:r>
    </w:p>
    <w:p>
      <w:r>
        <w:rPr>
          <w:b/>
        </w:rPr>
        <w:t xml:space="preserve">Quelle: </w:t>
      </w:r>
      <w:r>
        <w:t>https://mcp.opencaselaw.ch/entscheid/zh_verwaltungsgericht__VB.2019.00475</w:t>
      </w:r>
    </w:p>
    <w:p>
      <w:r>
        <w:t>FR: ZH_VERWALTUNGSGERICHT VB.2019.00475 du 23 octobre 2019</w:t>
      </w:r>
    </w:p>
    <w:p>
      <w:r>
        <w:t>IT: ZH_VERWALTUNGSGERICHT VB.2019.00475 del 23 ottobre 2019</w:t>
      </w:r>
    </w:p>
    <w:p>
      <w:pPr>
        <w:pStyle w:val="Heading2"/>
      </w:pPr>
      <w:r>
        <w:t>Regeste</w:t>
      </w:r>
    </w:p>
    <w:p>
      <w:r>
        <w:t>Aufenthaltsbewilligung | [Nacheheliches Aufenthaltsrecht] Da die Ehe des Beschwerdeführers nur wenige Monate dauerte und keine wichtigen persönlichen Gründe vorliegen, hat der Beschwerdeführer keinen nachehelichen Aufenthaltsanspruch nach Art. 50 Abs.1 lit. a und b AIG (E. 2). Abweisung.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Nach dem Gesagten ist die Beschwerde abzuweisen.</w:t>
      </w:r>
    </w:p>
    <w:p>
      <w:r>
        <w:rPr>
          <w:b/>
        </w:rPr>
        <w:t>E. 5</w:t>
      </w:r>
    </w:p>
    <w:p>
      <w:r>
        <w:t>Ausgangsgemäss sind die Gerichtskosten dem Beschwerdeführer aufzuerlegen (§ 65a Abs. 2 in Verbindung mit § 13 Abs. 2 Satz 1 VRG).</w:t>
      </w:r>
    </w:p>
    <w:p>
      <w:r>
        <w:rPr>
          <w:b/>
        </w:rPr>
        <w:t>E. 6</w:t>
      </w:r>
    </w:p>
    <w:p>
      <w:r>
        <w:t>Zur Rechtsmittelbelehrung des nachstehenden Dispositivs ist Folgendes zu erläutern: Soweit ein Anwesenheitsanspruch des Beschwerdeführers geltend gemacht werden will, ist die Beschwerde in öffentlich-rechtlichen Angelegenheiten nach Art. 82 ff. des Bundesgerichtsgesetzes vom 17. Juni 2005 (BGG, SR 173.110) zulässig (BGr, 2. November 2017, 2C_260/2017, E. 1.1); ansonsten steht die subsidiäre Verfassungsbeschwerde gemäss Art. 113 ff. BGG offen (Art. 83 lit. c Ziff. 2 und 4 BGG). Werden beide Rechtsmittel ergriffen, hat dies in der gleichen Rechtsschrift zu geschehen (Art. 119 Abs. 1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