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VB.2019.00436 vom 2. September 2015</w:t>
      </w:r>
    </w:p>
    <w:p>
      <w:r>
        <w:t>ZH Verwaltungsgericht, 2015-09-02, DE</w:t>
      </w:r>
    </w:p>
    <w:p>
      <w:r>
        <w:rPr>
          <w:b/>
        </w:rPr>
        <w:t xml:space="preserve">Quelle: </w:t>
      </w:r>
      <w:r>
        <w:t>https://mcp.opencaselaw.ch/entscheid/zh_verwaltungsgericht__VB.2019.00436</w:t>
      </w:r>
    </w:p>
    <w:p>
      <w:r>
        <w:t>FR: ZH_VERWALTUNGSGERICHT VB.2019.00436 du 2 septembre 2015</w:t>
      </w:r>
    </w:p>
    <w:p>
      <w:r>
        <w:t>IT: ZH_VERWALTUNGSGERICHT VB.2019.00436 del 2 settembre 2015</w:t>
      </w:r>
    </w:p>
    <w:p>
      <w:pPr>
        <w:pStyle w:val="Heading2"/>
      </w:pPr>
      <w:r>
        <w:t>Regeste</w:t>
      </w:r>
    </w:p>
    <w:p>
      <w:r>
        <w:t>Bewertung der Modulprüfung Strafrecht I | [Die Rekurskommission der Zürcher Hochschulen hiess den Prüfungsrekurs einer Studentin teilweise gut und wies die Sache zur erneuten Korrektur und Benotung der Prüfung an die Rechtswissenschaftliche Fakultät der Universität Zürich zurück.] Rückweisungsentscheide gelten grundsätzlich als Zwischenentscheide und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Ein nicht wiedergutzumachender Nachteil ist nicht dargetan oder ersichtlich (E. 2.3.2). Auch ist nicht ersichtlich, inwiefern der Rückweisungsentscheid bzw. die erneut vorzunehmende Prüfungskorrektur bzw. -bewertung mit einem bedeutenden Aufwand verbunden sein sollte. Es kann daher offenbleiben, ob eine Prüfungskorrekturbewertung überhaupt der Sachverhaltsermittlung bzw. ausserordentlichen Beweiserhebung zuzurechnen ist und ob die Beschwerdeführerin in Konstellationen wie der vorliegenden beschwerdelegitimiert ist (E. 2.3.3 ff.). Nichteintreten.</w:t>
      </w:r>
    </w:p>
    <w:p>
      <w:pPr>
        <w:pStyle w:val="Heading2"/>
      </w:pPr>
      <w:r>
        <w:t>Erwägungen</w:t>
      </w:r>
    </w:p>
    <w:p>
      <w:r>
        <w:rPr>
          <w:b/>
        </w:rPr>
        <w:t>E. 4</w:t>
      </w:r>
    </w:p>
    <w:p>
      <w:r>
        <w:t>Zur Rechtsmittelbelehrung des nachstehenden Dispositivs ist Folgendes zu erläutern: Gemäss Art. 83 lit. t BGG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29. Mai 2018, 2C_1004/2017, E. 1.1; BGE 136 I 229 E. 1; Thomas Häberli, Basler Kommentar, 2018, Art. 83 BGG N. 299). Ansonsten kann die subsidiäre Verfassungsbeschwerde gemäss Art. 113 ff. BGG erhoben werden. Werden beide Rechtsmittel ergriffen, hat dies in der gleichen Rechtsschrift zu geschehen (Art. 119 Abs. 1 BGG). Da der vorinstanzliche Beschluss einen Zwischenentscheid darstellt, ist der vorliegende ebenfalls ein solcher (Bertschi, § 19a N. 32; VGr, 2. September 2015, VB.2015.00438, E. 8).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