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VB.2019.00433 vom 19. Mai 2019</w:t>
      </w:r>
    </w:p>
    <w:p>
      <w:r>
        <w:t>ZH Verwaltungsgericht, 2019-05-19, DE</w:t>
      </w:r>
    </w:p>
    <w:p>
      <w:r>
        <w:rPr>
          <w:b/>
        </w:rPr>
        <w:t xml:space="preserve">Quelle: </w:t>
      </w:r>
      <w:r>
        <w:t>https://mcp.opencaselaw.ch/entscheid/zh_verwaltungsgericht__VB.2019.00433</w:t>
      </w:r>
    </w:p>
    <w:p>
      <w:r>
        <w:t>FR: ZH_VERWALTUNGSGERICHT VB.2019.00433 du 19 mai 2019</w:t>
      </w:r>
    </w:p>
    <w:p>
      <w:r>
        <w:t>IT: ZH_VERWALTUNGSGERICHT VB.2019.00433 del 19 maggio 2019</w:t>
      </w:r>
    </w:p>
    <w:p>
      <w:pPr>
        <w:pStyle w:val="Heading2"/>
      </w:pPr>
      <w:r>
        <w:t>Regeste</w:t>
      </w:r>
    </w:p>
    <w:p>
      <w:r>
        <w:t>Stimmrechtsrekurs: Ersatzneubau des Sekundarschulhauses Wallrüti (Volksabstimmung vom 19. Mai 2019) | [Beschwerde gegen einen Nichteintretensbeschluss eines Bezirkrats betreffend einen Stimmrechtsrekurs] Durch den Verzicht, einen zweiten Schriftenwechsel anzuordnen, hat die Vorinstanz das rechtliche Gehör des Beschwerdeführers nicht verletzt (E. 2). Da der Beschwerdeführer bei beiden Stimmrechtsrekursen die Frist von Art. 22 Abs. 1 Satz 2 VRG verpasst hatte, ist die Vorinstanz zu Recht nicht auf die Rekurse eingetreten (E. 3.1 ff.). Selbst wenn auf die Stimmrechtsrekurse hätte eingetreten werden können, wären diese abzuweisen gewesen, da die angefochtenen Abstimmungserläuterungen die Garantie der politischen Rechte nach Art. 34 Abs. 2 BV nicht verletzten (E. 3.2). Abweisung der Beschwerde, soweit auf sie eingetreten wird.</w:t>
      </w:r>
    </w:p>
    <w:p>
      <w:pPr>
        <w:pStyle w:val="Heading2"/>
      </w:pPr>
      <w:r>
        <w:t>Erwägungen</w:t>
      </w:r>
    </w:p>
    <w:p>
      <w:r>
        <w:rPr>
          <w:b/>
        </w:rPr>
        <w:t>E. 4</w:t>
      </w:r>
    </w:p>
    <w:p>
      <w:r>
        <w:t>Nach dem Gesagten erfolgte die Erhebung der beiden Stimmrechtsrekurse jeweils verspätet. Die Vorinstanz ist zu Recht nicht auf die beiden Rekurse eingetreten. Die Beschwerde ist dementsprechend abzuweisen.</w:t>
      </w:r>
    </w:p>
    <w:p>
      <w:r>
        <w:rPr>
          <w:b/>
        </w:rPr>
        <w:t>E. 5</w:t>
      </w:r>
    </w:p>
    <w:p>
      <w:r>
        <w:t>Gestützt auf § 65a Abs. 2 in Verbindung mit § 13 Abs. 4 VRG werden in Stimmrechtssachen Verfahrenskosten erhoben, wenn das Rechtsmittel offensichtlich aussichtslos ist. Ein Rechtsmittel ist offensichtlich aussichtslos, wenn "die Aussichten zu obsiegen wesentlich geringer sind als die Aussichten zu unterliegen" (vgl. Kaspar Plüss, Kommentar VRG, § 16 N. 46; BGE 138 III 217 E. 2.2.4). Aufgrund der vorne stehenden Ausführungen ist die vorliegende Stimmrechtsbeschwerde als aussichtslos zu qualifizieren. Die Verfahrenskosten sind deshalb dem Beschwerdeführer aufzuerlegen. Dem Beschwerdeführer ist ausgangsgemäss keine Parteientschädigung nach § 17 Abs. 2 VRG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