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VB.2019.00414 vom 19. November 2019</w:t>
      </w:r>
    </w:p>
    <w:p>
      <w:r>
        <w:t>ZH Verwaltungsgericht, 2019-11-19, DE</w:t>
      </w:r>
    </w:p>
    <w:p>
      <w:r>
        <w:rPr>
          <w:b/>
        </w:rPr>
        <w:t xml:space="preserve">Quelle: </w:t>
      </w:r>
      <w:r>
        <w:t>https://mcp.opencaselaw.ch/entscheid/zh_verwaltungsgericht__VB.2019.00414</w:t>
      </w:r>
    </w:p>
    <w:p>
      <w:r>
        <w:t>FR: ZH_VERWALTUNGSGERICHT VB.2019.00414 du 19 novembre 2019</w:t>
      </w:r>
    </w:p>
    <w:p>
      <w:r>
        <w:t>IT: ZH_VERWALTUNGSGERICHT VB.2019.00414 del 19 novembre 2019</w:t>
      </w:r>
    </w:p>
    <w:p>
      <w:pPr>
        <w:pStyle w:val="Heading2"/>
      </w:pPr>
      <w:r>
        <w:t>Regeste</w:t>
      </w:r>
    </w:p>
    <w:p>
      <w:r>
        <w:t>Arbeitszeugnis | Längere Zeitunterbrüche sind in einem qualifizierten Arbeitszeugnis zu erwähnen, wenn sie im Verhältnis zur gesamten Vertragsdauer erheblich ins Gewicht fallen und daher ohne Erwähnung bezüglich der erworbenen Berufserfahrung ein falscher Eindruck entstünde. Müssen Arbeitsunterbrüche erwähnt werden, sind auch die Gründe für die Abwesenheit aufzuführen (E. 2.3). Die Beschwerdeführerin war während 11 Monaten ihrer insgesamt 24 Monate dauernden Anstellung abwesend, weshalb die Abwesenheit im Arbeitszeugnis erwähnt werden darf. Da die Abwesenheit allein in der Schwangerschaft und der Mutterschaft der Beschwerdeführerin gründet, erscheint die zusätzliche Nennung von Krankheit als Abwesenheitsgrund nicht angebracht (E. 3.3). Teilweise Gutheissung.</w:t>
      </w:r>
    </w:p>
    <w:p>
      <w:pPr>
        <w:pStyle w:val="Heading2"/>
      </w:pPr>
      <w:r>
        <w:t>Erwägungen</w:t>
      </w:r>
    </w:p>
    <w:p>
      <w:r>
        <w:rPr>
          <w:b/>
        </w:rPr>
        <w:t>E. 4</w:t>
      </w:r>
    </w:p>
    <w:p>
      <w:r>
        <w:t>Da es sich um eine personalrechtliche Streitigkeit mit einem Streitwert nicht über Fr. 30'000.- handelt, sind für das vorliegende Verfahren keine Kosten zu erheben (§ 65a Abs. 3 VRG). Der nicht überwiegend obsiegenden Beschwerdeführerin steht keine Parteientschädigung zu (Kaspar Plüss, in: Alain Griffel [Hrsg.], Kommentar zum Verwaltungsrechtspflegegesetz des Kantons Zürich [VRG], 3. A., Zürich etc. 2014, § 17 N. 21).</w:t>
      </w:r>
    </w:p>
    <w:p>
      <w:r>
        <w:rPr>
          <w:b/>
        </w:rPr>
        <w:t>E. 5</w:t>
      </w:r>
    </w:p>
    <w:p>
      <w:r>
        <w:t>Der Streitwert beträgt weniger als Fr. 15'000.-. Entsprechend wäre die Beschwerde in öffentlich-rechtlichen Angelegenheiten an das Bundesgericht nur zulässig, wenn sich eine Rechtsfrage von grundsätzlicher Bedeutung stellte (Art. 85 Abs. 1 lit. b in Verbindung mit Abs. 2 des Bundesgerichtsgesetzes vom 17. Juni 2005 [BGG, SR 173.110]; vgl. auch Julia Hänni/Lukas Xaver Meyer, Basler Kommentar, 2018, Art. 85 N. 25). Ansonsten steht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