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VB.2019.00410 vom 27. Februar 2020</w:t>
      </w:r>
    </w:p>
    <w:p>
      <w:r>
        <w:t>ZH Verwaltungsgericht, 2020-02-27, DE</w:t>
      </w:r>
    </w:p>
    <w:p>
      <w:r>
        <w:rPr>
          <w:b/>
        </w:rPr>
        <w:t xml:space="preserve">Quelle: </w:t>
      </w:r>
      <w:r>
        <w:t>https://mcp.opencaselaw.ch/entscheid/zh_verwaltungsgericht__VB.2019.00410</w:t>
      </w:r>
    </w:p>
    <w:p>
      <w:r>
        <w:t>FR: ZH_VERWALTUNGSGERICHT VB.2019.00410 du 27 février 2020</w:t>
      </w:r>
    </w:p>
    <w:p>
      <w:r>
        <w:t>IT: ZH_VERWALTUNGSGERICHT VB.2019.00410 del 27 febbraio 2020</w:t>
      </w:r>
    </w:p>
    <w:p>
      <w:pPr>
        <w:pStyle w:val="Heading2"/>
      </w:pPr>
      <w:r>
        <w:t>Regeste</w:t>
      </w:r>
    </w:p>
    <w:p>
      <w:r>
        <w:t>Aufenthaltsbewilligung | Der Beschwerdeführer ist seit Jahren sozialhilfeabhängig und hat damit den Widerrufsgrund des Art. 62 Abs. 1 lit. e AIG gesetzt (E. 3.2). Die Verlängerung einer Aufenthaltsbewilligung ist indessen auch bei Vorliegen eines Widerrufsgrunds nur zu verweigern, wenn sich diese Massnahme als verhältnismässig erweist, wobei hier auch die Nachteile zu berücksichtigen sind, welche der vom Widerruf bzw. der Nichtverlängerung der Aufenthaltsbewilligung betroffenen Person dadurch entstehen, dass sie in ihren Heimatstaat zurückkehren muss; die Vorinstanz durfte es im Rahmen der hier anzustellenden Prüfung der privaten Interessen des Beschwerdeführers somit nicht einfach bei dem Hinweis belassen, jener "dürfte" in Anbetracht der aktuellen Sicherheitslage in seinem Heimatland bzw. insbesondere seiner Heimatstadt wohl "erneut vorläufig aufzunehmen sein", sondern hätte die Verhältnisse, welche der Beschwerdeführer in Somalia zu gewärtigen hätte, näher abklären (lassen) müssen (E. 3.3). Rückweisung.</w:t>
      </w:r>
    </w:p>
    <w:p>
      <w:pPr>
        <w:pStyle w:val="Heading2"/>
      </w:pPr>
      <w:r>
        <w:t>Erwägungen</w:t>
      </w:r>
    </w:p>
    <w:p>
      <w:r>
        <w:rPr>
          <w:b/>
        </w:rPr>
        <w:t>E. 4</w:t>
      </w:r>
    </w:p>
    <w:p>
      <w:r>
        <w:t>Nach dem Gesagten ist die Beschwerde teilweise gutzuheissen. Der Rekursentscheid vom 17. Mai 2019 ist aufzuheben, und die Sache ist im Sinn der Erwägungen zur ergänzenden Abklärung und Neubeurteilung an die Vorinstanz zurückzuweisen. Sollte die Vorinstanz auch nach Vornahme der erforderlichen Abklärungen zum Schluss gelangen, dass die Aufenthaltsbewilligung des Beschwerdeführers nicht zu verlängern sei, wird sie dem Beschwerdegegner abermals den Auftrag zu erteilen haben, dem SEM die vorläufige Aufnahme des Beschwerdeführers zu beantragen, weil dessen Position mit dem vorliegenden Entscheid keine Verschlechterung erfahren darf und ihm damit der Rechtsweg ans Bundesverwaltungsgericht geöffnet wäre.</w:t>
      </w:r>
    </w:p>
    <w:p>
      <w:r>
        <w:rPr>
          <w:b/>
        </w:rPr>
        <w:t>E. 5.1</w:t>
      </w:r>
    </w:p>
    <w:p>
      <w:r>
        <w:t>Ausgangsgemäss sind die Kosten des Beschwerdeverfahrens d em Beschwerdegegner aufzuerlegen (§ 13 Abs. 2 Satz 1 teilweise in Verbindung mit § 65a Abs. 2 VRG; BGr, 28. April 2014, 2C_846/2013, E. 3.2 f. mit Hinweisen; Donatsch, § 64 N. 5 ). Desgleichen hat dieser dem Beschwerdeführer antragsgemäss eine angemessene Parteientschädigung von Fr. 1'500.- (zuzüglich Mehrwertsteuer) für das Beschwerdeverfahren zu bezahlen.</w:t>
      </w:r>
    </w:p>
    <w:p>
      <w:r>
        <w:rPr>
          <w:b/>
        </w:rPr>
        <w:t>E. 5.2</w:t>
      </w:r>
    </w:p>
    <w:p>
      <w:r>
        <w:t>Aufgrund der Kostenauflage an den Beschwerdegegner wird das Gesuch um unentgeltliche Rechtspflege im Beschwerdeverfahren gegenstandslos. Der Beschwerdeführer ist sodann offenkundig mittellos, seine Beschwerde war nicht aussichtslos und eine Rechtsvertretung notwendig (§ 16 Abs. 1 f. VRG). Das Gesuch um unentgeltliche Rechtsvertretung für das Beschwerdeverfahren ist daher gutzuheissen und dem Beschwerdeführer in der Person von Rechtsanwalt B ein unentgeltlicher Rechtsvertreter zu bestellen. Der Rechtsvertreter des Beschwerdeführers macht einen Aufwand von insgesamt Fr. 1'494.50 (inklusive Mehrwertsteuer) geltend, was angesichts der Bedeutung der Streitsache und der Schwierigkeit des Verfahrens als angemessen erscheint. Damit beträgt die im Beschwerdeverfahren zu gewährende Entschädigung des unentgeltlichen Rechtsbeistands des Beschwerdeführers weniger als die diesem zugesprochene Parteientschädigung nach § 17 Abs. 2 VRG, weshalb die Parteientschädigung direkt dem Rechtsvertreter auszubezahlen ist.</w:t>
      </w:r>
    </w:p>
    <w:p>
      <w:r>
        <w:rPr>
          <w:b/>
        </w:rPr>
        <w:t>E. 6</w:t>
      </w:r>
    </w:p>
    <w:p>
      <w:r>
        <w:t>Zur Rechtsmittelbelehrung des nachstehenden Dispositivs ist Folgendes zu erläutern: Soweit – entgegen dem Vorstehenden – ein Anwesenheitsanspruch des Beschwerdeführers geltend gemacht werden sollte, ist die Beschwerde in öffentlich-rechtlichen Angelegenheiten nach Art. 82 ff. des Bundesgerichtsgesetzes vom 17. Juni 2005 (BGG, SR 173.110) zulässig (BGr, 10. September 2018, 2C_7/2018, E. 1.2). Ansonsten steht die subsidiäre Verfassungsbeschwerde gemäss Art. 113 ff. BGG offen. Werden beide Rechtsmittel ergriffen, hat dies in der gleichen Rechtsschrift zu geschehen (Art. 119 Abs. 1 BGG). Letztinstanzliche kantonale Rückweisungsentscheide sind dabei als Zwischenentscheide im Sinn von Art. 93 BGG zu qualifizieren (BGE 138 I 143 E. 1.2, 133 V 477 E. 4.2). Sie sind daher vor Bundesgericht nur direkt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