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VB.2019.00352 vom 19. Dezember 2019</w:t>
      </w:r>
    </w:p>
    <w:p>
      <w:r>
        <w:t>ZH Verwaltungsgericht, 2019-12-19, DE</w:t>
      </w:r>
    </w:p>
    <w:p>
      <w:r>
        <w:rPr>
          <w:b/>
        </w:rPr>
        <w:t xml:space="preserve">Quelle: </w:t>
      </w:r>
      <w:r>
        <w:t>https://mcp.opencaselaw.ch/entscheid/zh_verwaltungsgericht__VB.2019.00352</w:t>
      </w:r>
    </w:p>
    <w:p>
      <w:r>
        <w:t>FR: ZH_VERWALTUNGSGERICHT VB.2019.00352 du 19 décembre 2019</w:t>
      </w:r>
    </w:p>
    <w:p>
      <w:r>
        <w:t>IT: ZH_VERWALTUNGSGERICHT VB.2019.00352 del 19 dicembre 2019</w:t>
      </w:r>
    </w:p>
    <w:p>
      <w:pPr>
        <w:pStyle w:val="Heading2"/>
      </w:pPr>
      <w:r>
        <w:t>Regeste</w:t>
      </w:r>
    </w:p>
    <w:p>
      <w:r>
        <w:t>Aufenthaltsbewilligung | [Nichtverlängerung der Aufenthaltsbewilligung wegen Schuldenwirtschaft] Die seit seiner Verwarnung wegen Schuldenwirtschaft eingetretene (geringfügige) Neuverschuldung des Beschwerdeführers vermag noch keinen massgeblichen Verstoss gegen die öffentliche Sicherheit und Ordnung im Sinn von Art. 62 Abs. 1 lit. c AIG zu begründen, und auch wenn man seine (drei) bisherigen strafrechtlichen Verurteilungen mitberücksichtigt, erscheint der Normtatbestand (noch) nicht erfüllt. Anders dürfte die Beurteilung freilich ausfallen, wenn auch das zurzeit noch Gegenstand zweier Straf- bzw. Ermittlungsverfahren wegen unrechtmässigen Bezugs von Sozialhilfeleistungen, Diebstahls und mehrfachen betrügerischen Missbrauchs einer Datenverarbeitungsanlage bildende Verhalten des Beschwerdeführers (mit)berücksichtigt würde; bislang zeigt sich der Beschwerdeführer jedoch nicht bzw. nur in Teilen geständig, weshalb die noch nicht zur Anklage gebrachten Tatvorwürfe mit Blick auf die Unschuldsvermutung im vorliegenden Verfahren (noch) keine Berücksichtigung finden dürfen (zum Ganzen E. 3.3). Der Beschwerdeführer wird verwarnt (E. 4). Gutheissung UP. Gutheissung.</w:t>
      </w:r>
    </w:p>
    <w:p>
      <w:pPr>
        <w:pStyle w:val="Heading2"/>
      </w:pPr>
      <w:r>
        <w:t>Erwägungen</w:t>
      </w:r>
    </w:p>
    <w:p>
      <w:r>
        <w:rPr>
          <w:b/>
        </w:rPr>
        <w:t>E. 4</w:t>
      </w:r>
    </w:p>
    <w:p>
      <w:r>
        <w:t>Die Beschwerde ist gutzuheissen und der Beschwerdegegner einzuladen, die Aufenthaltsbewilligung des Beschwerdeführers nochmals zu verlängern. Der Beschwerdeführer ist gestützt auf Art. 96 Abs. 2 AIG zu verwarnen.</w:t>
      </w:r>
    </w:p>
    <w:p>
      <w:r>
        <w:rPr>
          <w:b/>
        </w:rPr>
        <w:t>E. 5.1</w:t>
      </w:r>
    </w:p>
    <w:p>
      <w:r>
        <w:t>Ausgangsgemäss sind die Kosten des Rekurs- und des Beschwerdeverfahrens dem Beschwerdegegner aufzuerlegen (§ 13 Abs. 2 Satz 1 teilweise in Verbindung mit § 65a Abs. 2 VRG; Kaspar Plüss in: Alain Griffel [Hrsg.], Kommentar zum Verwaltungsrechtspflegegesetz des Kantons Zürich [VRG], 3. A., Zürich etc. 2014, § 13 N. 66). Desgleichen hat dieser dem Beschwerdeführer eine angemessene Parteientschädigung von Fr. 2'000.- für das Beschwerdeverfahren zu bezahlen (§ 17 Abs. 2 lit. a VRG). Für das Rekursverfahren ist dagegen keine Parteientschädigung geschuldet, nachdem der rechtskundig vertretene Beschwerdeführer lediglich die Aufhebung der Dispositiv-Ziff. I und II des Rekursentscheids verlangt.</w:t>
      </w:r>
    </w:p>
    <w:p>
      <w:r>
        <w:rPr>
          <w:b/>
        </w:rPr>
        <w:t>E. 5.2</w:t>
      </w:r>
    </w:p>
    <w:p>
      <w:r>
        <w:t>Der Beschwerdeführer ist sodann offenkundig mittellos, seine Beschwerde war nicht aussichtslos und eine Rechtsvertretung notwendig (§ 16 Abs. 1 f. VRG). Das Gesuch um unentgeltliche Rechtspflege für das Beschwerdeverfahren ist daher gutzuheissen und dem Beschwerdeführer in der Person von B ein unentgeltlicher Rechtsvertreter zu bestellen. 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seit dem 1. Januar 2015 in der Regel Fr. 220.- pro Stunde für Rechtsanwälte/-innen; für vor Verwaltungsgericht selbständig auftretende Juristen/-innen ohne Anwaltspatent gilt in der Regel ein Ansatz von Fr. 170.- pro Stunde. Der Rechtsvertreter des Beschwerdeführers macht einen Aufwand von insgesamt 13,3 Stunden sowie Barauslagen im Betrag von Fr. 19.30 geltend. Insbesondere die beiden einstündigen Besprechungen bzw. Telefongespräche mit der Ehefrau des Beschwerdeführers und das ebenso lange Studium der im Oktober 2019 zugestellten Strafakten erscheinen indes als weitestgehend nicht zu ersetzender Aufwand. Dieser ist deswegen um insgesamt zwei Stunden zu kürzen. Der Rechtsvertreter ist demnach für das verwaltungsgerichtliche Verfahren mit insgesamt Fr. 1'934.30 aus der Gerichtskasse zu entschädigen. Damit beträgt die Entschädigung des unentgeltlichen Rechtsbeistands des Beschwerdeführers weniger als die diesem zugesprochene Parteientschädigung nach § 17 Abs. 2 VRG, weshalb die Parteientschädigung direkt dem Rechtsvertreter auszubezahlen ist zur Verrechnung mit seiner Entschädigungsforderung.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