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VB.2019.00330 vom 23. Oktober 2019</w:t>
      </w:r>
    </w:p>
    <w:p>
      <w:r>
        <w:t>ZH Verwaltungsgericht, 2019-10-23, DE</w:t>
      </w:r>
    </w:p>
    <w:p>
      <w:r>
        <w:rPr>
          <w:b/>
        </w:rPr>
        <w:t xml:space="preserve">Quelle: </w:t>
      </w:r>
      <w:r>
        <w:t>https://mcp.opencaselaw.ch/entscheid/zh_verwaltungsgericht__VB.2019.00330</w:t>
      </w:r>
    </w:p>
    <w:p>
      <w:r>
        <w:t>FR: ZH_VERWALTUNGSGERICHT VB.2019.00330 du 23 octobre 2019</w:t>
      </w:r>
    </w:p>
    <w:p>
      <w:r>
        <w:t>IT: ZH_VERWALTUNGSGERICHT VB.2019.00330 del 23 ottobre 2019</w:t>
      </w:r>
    </w:p>
    <w:p>
      <w:pPr>
        <w:pStyle w:val="Heading2"/>
      </w:pPr>
      <w:r>
        <w:t>Regeste</w:t>
      </w:r>
    </w:p>
    <w:p>
      <w:r>
        <w:t>Nichtbestehen der CAS-Abschlussarbeit | [Die Beschwerdeführerin absolviert bei der Beschwerdegegnerin einen Zertifikatslehrgang (CAS); mit der Ausgangsverfügung wurde ihr mitgeteilt, dass ihre nachgebesserte CAS-Abschlussarbeit mit dem Prädikat "nicht bestanden" beurteilt worden sei und sie die Möglichkeit habe, die Arbeit einmalig zu wiederholen.] Die Beschwerdeführerin ist zur Beschwerdeerhebung legitimiert, auch wenn ihr die Möglichkeit offensteht, eine neue CAS-Abschlussarbeit einzureichen (E. 1.1); Unzuständigkeit des Verwaltungsgerichts für die Beurteilung einer gegen die Vorinstanz erhobene Aufsichtsbeschwerde (E. 1.2). Aus den Akten ergeben sich diverse Unregelmässigkeiten, welche Zweifel an der Objektivität der Beurteilung der nachgebesserten Abschlussarbeit der Beschwerdeführerin aufkommen lassen bzw. die Nachvollziehbarkeit der Bewertung erheblich beeinträchtigen (E. 3.4). Da das Verwaltungsgericht nicht als Fachgericht ausgestaltet ist und die Arbeit inhaltlich nicht beurteilen kann, ist die Sache an die Beschwerdegegnerin zurückzuweisen, welche die nachgebesserte Arbeit der Beschwerdeführerin einem fachkundigen Zweitbegutachter zur sorgfältigen Prüfung und Bewertung vorzulegen haben wird (E. 3.5). Gutheissung.</w:t>
      </w:r>
    </w:p>
    <w:p>
      <w:pPr>
        <w:pStyle w:val="Heading2"/>
      </w:pPr>
      <w:r>
        <w:t>Erwägungen</w:t>
      </w:r>
    </w:p>
    <w:p>
      <w:r>
        <w:rPr>
          <w:b/>
        </w:rPr>
        <w:t>E. 4</w:t>
      </w:r>
    </w:p>
    <w:p>
      <w:r>
        <w:t>Unter diesen Umständen braucht auf den sinngemässen Einwand der Beschwerdeführerin betreffend die Verletzung des rechtlichen Gehörs durch die Vorinstanz nicht mehr eingegangen zu werden.</w:t>
      </w:r>
    </w:p>
    <w:p>
      <w:r>
        <w:rPr>
          <w:b/>
        </w:rPr>
        <w:t>E. 5</w:t>
      </w:r>
    </w:p>
    <w:p>
      <w:r>
        <w:t>Nach dem Gesagten ist die Beschwerde gutzuheissen, soweit darauf einzutreten ist. Dispositiv-Ziff. I des Rekursentscheids vom 12. April 2019 sowie die Verfügung der Beschwerdegegnerin vom 12. Juli 2018 sind aufzuheben, und die Sache ist zur umfassenden Beurteilung und Neubewertung der nachgebesserten CAS-Abschlussarbeit der Beschwerdeführerin durch einen Zweitbegutachter an die Beschwerdegegnerin zurückzuweisen.</w:t>
      </w:r>
    </w:p>
    <w:p>
      <w:r>
        <w:rPr>
          <w:b/>
        </w:rPr>
        <w:t>E. 6.1</w:t>
      </w:r>
    </w:p>
    <w:p>
      <w:r>
        <w:t>Ausgangsgemäss sind die Kosten des Rekurs- und des Beschwerdeverfahrens der Beschwerdegegnerin aufzuerlegen (§ 65a Abs. 2 in Verbindung mit § 13 Abs. 2 Satz 1 VRG; vgl. Plüss, § 13 N. 67 ff.; BGr, 6. März 2017, 6B_1/2017, E. 4).</w:t>
      </w:r>
    </w:p>
    <w:p>
      <w:r>
        <w:rPr>
          <w:b/>
        </w:rPr>
        <w:t>E. 6.2</w:t>
      </w:r>
    </w:p>
    <w:p>
      <w:r>
        <w:t>Die Beschwerdeführerin beantragt für das vorinstanzliche und das verwaltungsgerichtliche Verfahren eine Parteientschädigung. Nachdem sie jedoch in beiden Verfahren ohne externe Vertretung aufgetreten ist und ein besonderer Aufwand für die Verfassung der Rechtsschrift bzw. die Abwicklung des Verfahrens weder ersichtlich ist noch substanziiert behauptet wird, sind die Voraussetzungen von § 17 Abs. 2 lit. a und b VRG nicht erfüllt (vgl. Plüss, § 17 N. 34 ff.). Eine Entschädigung ist deshalb nicht zuzusprechen.</w:t>
      </w:r>
    </w:p>
    <w:p>
      <w:r>
        <w:rPr>
          <w:b/>
        </w:rPr>
        <w:t>E. 7</w:t>
      </w:r>
    </w:p>
    <w:p>
      <w:r>
        <w:t>Zur Rechtsmittelbelehrung des nachstehenden Dispositivs ist Folgendes zu erläutern: Art. 83 lit. t des Bundesgerichtsgesetzes vom 17. Juni 2005 (BGG, SR 173.110) erklärt die Beschwerde in öffentlich-rechtlichen Angelegenheiten gegen Entscheide über das Ergebnis von Prüfungen und anderen Fähigkeitsbewertungen für unzulässig.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10. Januar 2018, 2D_41/2017, E. 2.1 mit Hinweisen; Thomas Häberli, Basler Kommentar, 2018, Art. 83 BGG N. 299). Ansonsten kann subsidiäre Verfassungsbeschwerde gemäss Art. 113 ff. BGG ergriffen werden. Letztinstanzliche kantonale Rückweisungsentscheide sind als Zwischenentscheide im Sinn von Art. 93 BGG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