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VB.2019.00298 vom 12. November 2019</w:t>
      </w:r>
    </w:p>
    <w:p>
      <w:r>
        <w:t>ZH Verwaltungsgericht, 2019-11-12, DE</w:t>
      </w:r>
    </w:p>
    <w:p>
      <w:r>
        <w:rPr>
          <w:b/>
        </w:rPr>
        <w:t xml:space="preserve">Quelle: </w:t>
      </w:r>
      <w:r>
        <w:t>https://mcp.opencaselaw.ch/entscheid/zh_verwaltungsgericht__VB.2019.00298</w:t>
      </w:r>
    </w:p>
    <w:p>
      <w:r>
        <w:t>FR: ZH_VERWALTUNGSGERICHT VB.2019.00298 du 12 novembre 2019</w:t>
      </w:r>
    </w:p>
    <w:p>
      <w:r>
        <w:t>IT: ZH_VERWALTUNGSGERICHT VB.2019.00298 del 12 novembre 2019</w:t>
      </w:r>
    </w:p>
    <w:p>
      <w:pPr>
        <w:pStyle w:val="Heading2"/>
      </w:pPr>
      <w:r>
        <w:t>Regeste</w:t>
      </w:r>
    </w:p>
    <w:p>
      <w:r>
        <w:t>Familiennachzug (Erteilung einer Einreisebewilligung) | [Der Beschwerdeführer 1 lebte jahrelang getrennt von seinem Sohn (geboren 2006), dem Beschwerdeführer 2; nach der Heirat mit der Kindsmutter im Jahr 2016 beantragte er den Nachzug (auch) des Beschwerdeführers 2.] Das erst im August 2016 gestellte Einreisegesuch erweist sich als verspätet; ein wichtiger Grund für einen nachträglichen Familiennachzug (allein) zum Vater ist ebenfalls nicht gegeben (E. 3.1). Das Bundesgericht hielt sodann bislang in konstanter Praxis dafür, dass sich der nach einer Heirat nachgezogene Elternteil die vom hier lebenden (nachziehenden) Elternteil verpassten Fristen entgegenhalten lassen müsse. In den betreffenden Entscheiden hatten die betroffenen Eltern jedoch jeweils über Jahre hinweg freiwillig auf ein gemeinsames Familienleben in der Schweiz verzichtet und wurden insofern zu Recht als Einheit betrachtet. Solches liesse sich hier aber nur dann sagen, wenn die – vom Beschwerdegegner vorzunehmenden – weiteren Sachverhaltsabklärungen ergäben, dass der Beschwerdeführer 1 und seine Ehefrau (die Kindsmutter) tatsächlich nicht erst relativ kurz vor ihrer Heirat wieder ein Paar wurden und jahrelang über die Grenze hinweg eine (Parallel-)Beziehung lebten (zum Ganzen E. 3.2). Die Beantwortung der streitgegenständlichen Frage, ob dem Beschwerdeführer 2 der Aufenthalt in der Schweiz zu gestatten sei, hängt somit wesentlich vom Ausgang des seine Mutter betreffenden Bewilligungsverfahrens ab, mit welchem nach rechtkräftiger Rückweisung durch die Vorinstanz (erneut) der Beschwerdegegner befasst ist. Es rechtfertigt sich deshalb, mit der vorliegenden Angelegenheit gleich zu verfahren und diese zu neuer (einheitlicher) Entscheidung an den Beschwerdegegner zurückzuweisen (E. 3.3). Teilweise Gutheissung und Rückweisung an den Beschwerdegegner. Abweichende Meinung einer Kammerminderheit.</w:t>
      </w:r>
    </w:p>
    <w:p>
      <w:pPr>
        <w:pStyle w:val="Heading2"/>
      </w:pPr>
      <w:r>
        <w:t>Erwägungen</w:t>
      </w:r>
    </w:p>
    <w:p>
      <w:r>
        <w:rPr>
          <w:b/>
        </w:rPr>
        <w:t>E. 4</w:t>
      </w:r>
    </w:p>
    <w:p>
      <w:r>
        <w:t>Nach dem Gesagten ist die Beschwerde teilweise gutzuheissen und die Angelegenheit im Sinn der Erwägungen an den Beschwerdegegner zurückzuweisen.</w:t>
      </w:r>
    </w:p>
    <w:p>
      <w:r>
        <w:rPr>
          <w:b/>
        </w:rPr>
        <w:t>E. 5</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 64 N. 5). Demnach haben die Beschwerdeführer als obsiegend zu gelten und sind die Kosten des Beschwerdeverfahrens dem Beschwerdegegner aufzuerlegen (§ 65a Abs. 2 in Verbindung mit § 13 Abs. 2 Satz 1 VRG). Den Beschwerdeführern ist zudem zulasten des Beschwerdegegners eine angemessene Parteientschädigung für das Beschwerde- und das Rekursverfahren zuzusprechen (§ 17 Abs. 2 VRG).</w:t>
      </w:r>
    </w:p>
    <w:p>
      <w:r>
        <w:rPr>
          <w:b/>
        </w:rPr>
        <w:t>E. 6</w:t>
      </w:r>
    </w:p>
    <w:p>
      <w:r>
        <w:t>Zur Rechtsmittelbelehrung des nachstehenden Dispositivs ist Folgendes zu erläutern: Soweit ein Anwesenheitsanspruch des Beschwerdeführers 2 geltend gemacht wird, ist Beschwerde in öffentlich-rechtlichen Angelegenheiten nach Art. 82 ff. des Bundesgerichtsgesetzes vom 17. Juni 2005 (BGG, SR 173.110) zu erheben (vgl. Art. 83 lit. c Ziff. 2 BGG e contrario; BGE 139 I 330 E. 1.1). Ansonsten steht die subsidiäre Verfassungsbeschwerde gemäss Art. 113 ff. BGG offen.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