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VB.2019.00263 vom 27. Januar 2010</w:t>
      </w:r>
    </w:p>
    <w:p>
      <w:r>
        <w:t>ZH Verwaltungsgericht, 2010-01-27, DE</w:t>
      </w:r>
    </w:p>
    <w:p>
      <w:r>
        <w:rPr>
          <w:b/>
        </w:rPr>
        <w:t xml:space="preserve">Quelle: </w:t>
      </w:r>
      <w:r>
        <w:t>https://mcp.opencaselaw.ch/entscheid/zh_verwaltungsgericht__VB.2019.00263</w:t>
      </w:r>
    </w:p>
    <w:p>
      <w:r>
        <w:t>FR: ZH_VERWALTUNGSGERICHT VB.2019.00263 du 27 janvier 2010</w:t>
      </w:r>
    </w:p>
    <w:p>
      <w:r>
        <w:t>IT: ZH_VERWALTUNGSGERICHT VB.2019.00263 del 27 gennaio 2010</w:t>
      </w:r>
    </w:p>
    <w:p>
      <w:pPr>
        <w:pStyle w:val="Heading2"/>
      </w:pPr>
      <w:r>
        <w:t>Regeste</w:t>
      </w:r>
    </w:p>
    <w:p>
      <w:r>
        <w:t>Widerruf der Niederlassungsbewilligung | [Widerruf der Niederlassungsbewilligung eines Flüchtlings wegen Straffälligkeit] Mit der Verurteilung zu einer Freiheitsstrafe von 32 Monaten wegen eines Drogendelikts hat der Beschwerdeführer einen Widerrufsgrund gesetzt (E. 2.1). In Anbetracht der Schwere des von ihm zuletzt begangenen Delikts und seiner diversen Vorstrafen wegen Strassenverkehrsdelikten hat die Vorinstanz das sicherheitspolizeiliche Interesse an der Wegweisung des Beschwerdeführers zu Recht als gross eingestuft (E. 2.3). Aufgrund des Alters des Beschwerdeführers, seines bald 30-jährigen hiesigen Aufenthalts und seiner Entfremdung von der Heimat erweist sich der Bewilligungswiderruf jedoch als unverhältnismässig (E. 2.3 f.). Gutheissung.</w:t>
      </w:r>
    </w:p>
    <w:p>
      <w:pPr>
        <w:pStyle w:val="Heading2"/>
      </w:pPr>
      <w:r>
        <w:t>Erwägungen</w:t>
      </w:r>
    </w:p>
    <w:p>
      <w:r>
        <w:rPr>
          <w:b/>
        </w:rPr>
        <w:t>E. 4</w:t>
      </w:r>
    </w:p>
    <w:p>
      <w:r>
        <w:t>Zur Rechtsmittelbelehrung des nachfolgenden Urteilsdispositivs ist Folgendes zu erläutern: 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Ansonsten und im Wegweisungspunkt steht die subsidiäre Verfassungsbeschwerde nach Art. 113 ff. BGG offen (Art. 113 in Verbindung mit Art. 83 lit. c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