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VB.2019.00143 vom 19. Dezember 2019</w:t>
      </w:r>
    </w:p>
    <w:p>
      <w:r>
        <w:t>ZH Verwaltungsgericht, 2019-12-19, DE</w:t>
      </w:r>
    </w:p>
    <w:p>
      <w:r>
        <w:rPr>
          <w:b/>
        </w:rPr>
        <w:t xml:space="preserve">Quelle: </w:t>
      </w:r>
      <w:r>
        <w:t>https://mcp.opencaselaw.ch/entscheid/zh_verwaltungsgericht__VB.2019.00143</w:t>
      </w:r>
    </w:p>
    <w:p>
      <w:r>
        <w:t>FR: ZH_VERWALTUNGSGERICHT VB.2019.00143 du 19 décembre 2019</w:t>
      </w:r>
    </w:p>
    <w:p>
      <w:r>
        <w:t>IT: ZH_VERWALTUNGSGERICHT VB.2019.00143 del 19 dicembre 2019</w:t>
      </w:r>
    </w:p>
    <w:p>
      <w:pPr>
        <w:pStyle w:val="Heading2"/>
      </w:pPr>
      <w:r>
        <w:t>Regeste</w:t>
      </w:r>
    </w:p>
    <w:p>
      <w:r>
        <w:t>Lohnklasseneinreihung | [Lohnklasseneinreihung] Der an öffentlichen Gymnasien erteilte Klassenunterricht mit Schülerinnnen und Schülern der Sekundarstufe I ist der nunmehr an einer Sekundarschule als Lehrperson für Integrative Förderung tätigen Beschwerdeführerin im Rahmen ihrer Lohneinstufung gestützt auf § 16 Abs. 2 lit. a LPVO zu 100% anzurechnen (E. 3.2). Teilweise Gutheissung und Sprungrückweisung im Sinn der Erwägungen.</w:t>
      </w:r>
    </w:p>
    <w:p>
      <w:pPr>
        <w:pStyle w:val="Heading2"/>
      </w:pPr>
      <w:r>
        <w:t>Erwägungen</w:t>
      </w:r>
    </w:p>
    <w:p>
      <w:r>
        <w:rPr>
          <w:b/>
        </w:rPr>
        <w:t>E. 4</w:t>
      </w:r>
    </w:p>
    <w:p>
      <w:r>
        <w:t>Nach dem Gesagten ist die Beschwerde teilweise gutzuheissen. Ziff. I der Verfügung der Bildungsdirektion vom 5. Februar 2019 sowie die Verfügung des VSA vom 24. November 2017 sind aufzuheben; die Sache ist zur ergänzenden Sachverhaltsermittlung und zu neuem Entscheid im Sinn der Erwägungen an das VSA zurückzuweisen.</w:t>
      </w:r>
    </w:p>
    <w:p>
      <w:r>
        <w:rPr>
          <w:b/>
        </w:rPr>
        <w:t>E. 5</w:t>
      </w:r>
    </w:p>
    <w:p>
      <w:r>
        <w:t>Für personalrechtliche Streitigkeiten mit einem Streitwert bis Fr. 30'000.- werden keine Gerichtskosten erhoben (§ 65a Abs. 3 VRG; Kaspar Plüss, Kommentar VRG, § 65a N. 23 f.).</w:t>
      </w:r>
    </w:p>
    <w:p>
      <w:r>
        <w:rPr>
          <w:b/>
        </w:rPr>
        <w:t>E. 6</w:t>
      </w:r>
    </w:p>
    <w:p>
      <w:r>
        <w:t>Weil vorliegend von einem Fr. 15'000.- nicht erreichenden Streitwert auszugehen ist (oben 1.2), ist die Beschwerde in öffentlich-rechtlichen Angelegenheiten an das Bundesgericht nur zulässig, wenn sich eine Rechtsfrage von grundsätzlicher Bedeutung stellt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 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