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VB.2019.00117 vom 29. Mai 2019</w:t>
      </w:r>
    </w:p>
    <w:p>
      <w:r>
        <w:t>ZH Verwaltungsgericht, 2019-05-29, DE</w:t>
      </w:r>
    </w:p>
    <w:p>
      <w:r>
        <w:rPr>
          <w:b/>
        </w:rPr>
        <w:t xml:space="preserve">Quelle: </w:t>
      </w:r>
      <w:r>
        <w:t>https://mcp.opencaselaw.ch/entscheid/zh_verwaltungsgericht__VB.2019.00117</w:t>
      </w:r>
    </w:p>
    <w:p>
      <w:r>
        <w:t>FR: ZH_VERWALTUNGSGERICHT VB.2019.00117 du 29 mai 2019</w:t>
      </w:r>
    </w:p>
    <w:p>
      <w:r>
        <w:t>IT: ZH_VERWALTUNGSGERICHT VB.2019.00117 del 29 maggio 2019</w:t>
      </w:r>
    </w:p>
    <w:p>
      <w:pPr>
        <w:pStyle w:val="Heading2"/>
      </w:pPr>
      <w:r>
        <w:t>Regeste</w:t>
      </w:r>
    </w:p>
    <w:p>
      <w:r>
        <w:t>Sozialhilfe | Rückerstattung von Sozialhilfeleistungen; Freibetrag. Wird gestützt auf § 27 Abs. 1 lit. b SHG die Rückerstattung von rechtmässig bezogener Sozialhilfe verfügt, ist den Verpflichteten ein angemessener Betrag des Vermögensanfalles (Freibetrag) zu belassen (E. 2.2). Gemäss verwaltungsgerichtlicher Rechtsprechung setzt die Rückerstattungspflicht für Leistungen an Familienangehörige voraus, dass zurzeit des Hilfebezugs eine Unterstützungseinheit und damit ein Zusammenwohnen dieser Personen vorgelegen hat. Mangels einer Rückerstattungspflicht bei fehlender Unterstützungseinheit ist im umgekehrten Fall aber auch kein Freibetrag für ein Kind auf die Rückerstattungsforderung zu gewähren, wenn während des rückerstattungspflichtigen Zeitraumes gar keine Leistungen für das Kind bezogen wurden (E. 2.3). Abweisung.</w:t>
      </w:r>
    </w:p>
    <w:p>
      <w:pPr>
        <w:pStyle w:val="Heading2"/>
      </w:pPr>
      <w:r>
        <w:t>Erwägungen</w:t>
      </w:r>
    </w:p>
    <w:p>
      <w:r>
        <w:rPr>
          <w:b/>
        </w:rPr>
        <w:t>E. 3</w:t>
      </w:r>
    </w:p>
    <w:p>
      <w:r>
        <w:t>Ausgangsgemäss sind die Kosten des Verfahrens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