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VB.2019.00116 vom 2. August 2018</w:t>
      </w:r>
    </w:p>
    <w:p>
      <w:r>
        <w:t>ZH Verwaltungsgericht, 2018-08-02, DE</w:t>
      </w:r>
    </w:p>
    <w:p>
      <w:r>
        <w:rPr>
          <w:b/>
        </w:rPr>
        <w:t xml:space="preserve">Quelle: </w:t>
      </w:r>
      <w:r>
        <w:t>https://mcp.opencaselaw.ch/entscheid/zh_verwaltungsgericht__VB.2019.00116</w:t>
      </w:r>
    </w:p>
    <w:p>
      <w:r>
        <w:t>FR: ZH_VERWALTUNGSGERICHT VB.2019.00116 du 2 août 2018</w:t>
      </w:r>
    </w:p>
    <w:p>
      <w:r>
        <w:t>IT: ZH_VERWALTUNGSGERICHT VB.2019.00116 del 2 agosto 2018</w:t>
      </w:r>
    </w:p>
    <w:p>
      <w:pPr>
        <w:pStyle w:val="Heading2"/>
      </w:pPr>
      <w:r>
        <w:t>Regeste</w:t>
      </w:r>
    </w:p>
    <w:p>
      <w:r>
        <w:t>Eingrenzung (G.-Nr. Gl180290-L) | Geeignetheit der Eingrenzung; Druckwirkung; Verhältnismässigkeit. Die Eingrenzung des Beschwerdeführers auf die Gemeinde Urdorf ist geeignet, die staatliche Kontrolle über diesen zu erleichtern und seine Ausreise zu fördern (E. 2.4). Die Massnahme erweist sich auch als verhältnismässig, da der Beschwerdeführer wegen versuchter schwerer Körperverletzung verurteilt wurde (E. 2.5). Abweisung.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macht geltend, dass die Eingrenzung nicht erforderlich und nicht geeignet sei, auch ohne Eingrenzung stehe er bereits unter erheblichem Druck. Sodann sei sie ihm auch nicht zumutbar und er bemühe sich um Integration. Die Umstände seiner Straftat (das Opfer setze sich für ihn ein) und seine Reue müssten ebenfalls berücksichtigt werden.</w:t>
      </w:r>
    </w:p>
    <w:p>
      <w:r>
        <w:rPr>
          <w:b/>
        </w:rPr>
        <w:t>E. 2.2</w:t>
      </w:r>
    </w:p>
    <w:p>
      <w:r>
        <w:t>Nach Art. 74 Abs. 1 lit. a AIG kann die zuständige kantonale Behörde einer Person die Auflage machen, ein ihr zugewiesenes Gebiet nicht zu verlassen, wenn sie keine Kurzaufenthalts-, Aufenthalts- oder Niederlassungsbewilligung besitzt und sie die öffentliche Sicherheit und Ordnung stört oder gefährdet. Eine Gefährdung der öffentlichen Sicherheit und Ordnung liegt gemäss Art. 80 Abs. 2 VZAE vor, wenn konkrete Anhaltspunkte dafür bestehen, dass der Aufenthalt der betroffenen Person in der Schweiz mit erheblicher Wahrscheinlichkeit zu einem Verstoss gegen die öffentliche Sicherheit und Ordnung führt, was unter anderem bei einer Missachtung von gesetzlichen Vorschriften und behördlichen Verfügungen der Fall ist. 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2.3</w:t>
      </w:r>
    </w:p>
    <w:p>
      <w:r>
        <w:t>Der Beschwerdeführer reichte am 11. November 2015 ein Asylgesuch ein. Mit Verfügung des Staatssekretariats für Migration (SEM) vom 19. März 2018 wurde das Asylgesuch abgewiesen und der Beschwerdeführer aufgefordert, die Schweiz bis am 18. April 2018 zu verlassen. Eine dagegen erhobene Beschwerde wies das Bundesverwaltungsgericht mit Urteil vom 2. August 2018 ab. Dem Beschwerdeführer wurde daraufhin eine erneute Ausreisefrist bis zum 10. September 2018 gesetzt, welche er unbenutzt verstreichen liess. Somit liegen sowohl ein rechtskräftiger Wegweisungsentscheid als auch die Nichteinhaltung der angesetzten Frist zur Ausreise im Sinn von Art. 74 Abs. 1 lit. b AIG durch den Beschwerdeführer vor. Da die Voraussetzungen von Art. 74 Abs. 1 lit. b AIG erfüllt sind, kann in der Folge offengelassen werden, ob auch die Voraussetzung nach lit. a erfüllt wären.</w:t>
      </w:r>
    </w:p>
    <w:p>
      <w:r>
        <w:rPr>
          <w:b/>
        </w:rPr>
        <w:t>E. 2.4</w:t>
      </w:r>
    </w:p>
    <w:p>
      <w:r>
        <w:t>Zweck der Eingrenzung nach Art. 74 Abs. 1 lit. b AIG ist es, den Verbleib der ausländischen Person zu kontrollieren, sowie ihre Verfügbarkeit für die Vorbereitung und Durchführung der Ausschaffung sicherzustellen.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(BGE 144 II 16 E. 4.2 f.). 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AIG ist damit erst dann untauglich zur Erreichung ihres Zwecks, wenn sowohl die Ausschaffung als auch die freiwillige Ausreise objektiv unmöglich sind (BGE 144 II 16 E. 4.7.2 und E. 4.8). Es liegen keine konkreten Anhaltspunkte dafür vor, dass die Ausreise nach Afghanistan objektiv unmöglich wäre. Die Eingrenzung erscheint daher als geeignetes Mittel zur Zweckerreichung.</w:t>
      </w:r>
    </w:p>
    <w:p>
      <w:r>
        <w:rPr>
          <w:b/>
        </w:rPr>
        <w:t>E. 2.5</w:t>
      </w:r>
    </w:p>
    <w:p>
      <w:r>
        <w:t>Schliesslich ist zu prüfen, ob die Eingrenzung erforderlich ist und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w:t>
      </w:r>
    </w:p>
    <w:p>
      <w:r>
        <w:rPr>
          <w:b/>
        </w:rPr>
        <w:t>E. 2.5.1</w:t>
      </w:r>
    </w:p>
    <w:p>
      <w:r>
        <w:t>Der Beschwerdeführer bringt vor, die Eingrenzung sei nicht erforderlich, da aufgrund des geltenden Nothilferegimes bereits heute eine faktische Meldepflicht bestehe, die erheblichen Druck ausübe. Dem kann nicht gefolgt werden. Es entspricht der verwaltungsgerichtlichen Rechtsprechung, dass Meldepflichten grundsätzlich keine geeigneten Ersatzmassnahmen für Eingrenzungen darstellen (VGr, 13. Oktober 2016, VB.2016.00538, E. 4; 24. Oktober 2017, VB.2017.00033, E. 2.4.3 – ebenfalls betreffend die Notunterkunft Urdorf). Bei der Präsenzkontrolle handelt es sich denn auch nicht um eine ausländerrechtliche Zwangsmassnahme (VGr, 27. Februar 2017, VB.2017.00131, E. 3.2). Mit der Eingrenzung wird ein zusätzlicher Druck aufgebaut, weshalb die Massnahme erforderlich erscheint, zumal der Beschwerdeführer sich durch das Nothilferegime bislang noch nicht veranlasst sah, die Schweiz freiwillig zu verlassen.</w:t>
      </w:r>
    </w:p>
    <w:p>
      <w:r>
        <w:rPr>
          <w:b/>
        </w:rPr>
        <w:t>E. 2.5.2</w:t>
      </w:r>
    </w:p>
    <w:p>
      <w:r>
        <w:t>Nach der Praxis des Verwaltungsgerichts ist bei mehrfacher bzw. schwerer Straffälligkeit eine Eingrenzung auf das Gebiet – nur – einer Gemeinde grundsätzlich zulässig, da das öffentliche Interesse an der Eingrenzung in solchen Fällen vergleichsweise schwer wiegt (VGr, 5. April 2018, VB.2018.00001 E. 3.4.1; 27. Februar 2017, VB.2016.00689, E. 2.6.4). Dabei spielt es für das öffentliche Interesse keine Rolle, ob die Eingrenzung gestützt auf Art. 74 Abs. 1 lit. a oder b verfügt wurde. Durch die Straffälligkeit wird in beiden Fällen ein schwer wiegendes öffentliches Interesse an der Eingrenzung generiert.</w:t>
      </w:r>
    </w:p>
    <w:p>
      <w:r>
        <w:rPr>
          <w:b/>
        </w:rPr>
        <w:t>E. 2.5.3</w:t>
      </w:r>
    </w:p>
    <w:p>
      <w:r>
        <w:t>Der Beschwerdeführer wurde wegen versuchter schwerer Körperverletzung schuldig gesprochen. Dabei handelt es sich um ein schweres Delikt. Dass der Beschwerdeführer seine Tat bereut und sein Opfer ihm wohl verziehen hat, vermag das öffentliche Interesse jedoch kaum zu schmälern.</w:t>
      </w:r>
    </w:p>
    <w:p>
      <w:r>
        <w:rPr>
          <w:b/>
        </w:rPr>
        <w:t>E. 2.5.4</w:t>
      </w:r>
    </w:p>
    <w:p>
      <w:r>
        <w:t>Bei der Gemeinde Urdorf handelt es sich bei einer Gemeindefläche von 7,62 km2 mit über knapp 10'000 Einwohner weiter nicht um eine kleine Gemeinde. Angesichts dieser Verhältnisse, die dem Beschwerdeführer die Befriedigung seiner Grundbedürfnisse zweifellos erlauben, ist der Eingriff in seine Bewegungsfreiheit nach Art. 10 Abs. 2 BV nicht als besonders gross zu erachten (vgl. VGr, 1. März 2018, VB.2017.00767, E. 3.5.2). Es ist jedenfalls nicht ersichtlich, welche Grundbedürfnisse, zu welchen der Besuch eines Schnuppersemesters an der Universität Zürich nicht zählt, nicht auch auf dem Gemeindegebiet Urdorf erfüllt werden könnten. So ist es dem Beschwerdeführer zuzumuten, seine sozialen Kontakte auch in Urdorf oder mittels Einholung einer entsprechenden Ausnahmebewilligung zu pflegen. Das diesbezügliche Interesse des Beschwerdeführers, diese Tätigkeiten ausserhalb der Gemeinde Urdorf bzw. in Zürich ausüben zu können, überwiegt das entgegenstehende öffentliche Interesse jedenfalls nicht. Somit überwiegen die öffentlichen Interessen diejenigen des Beschwerdeführers. Insgesamt greift die Eingrenzung in räumlicher Hinsicht zwar erheblich in die persönliche Freiheit des Beschwerdeführers ein; die diesbezüglichen beschwerdeführerischen Ausführungen, wonach ihm nur sehr wenige Möglichkeiten zur Verfügung stünden, um einen sinnvollen Tagesablauf zu gestalten, sind durchaus nachvollziehbar. Dennoch ist – insbesondere mit Blick auf seine Straffälligkeit – ein überwiegendes öffentliches Interesse an der verfügten Eingrenzung auf die Gemeinde Urdorf zu bejahen (vgl. VGr, 27. Februar 2017, VB.2016.00689, E. 2.6.4). Demnach ist auch der beschwerdeführerische Eventualantrag betreffend die Erweiterung des Rayons abzulehnen.</w:t>
      </w:r>
    </w:p>
    <w:p>
      <w:r>
        <w:rPr>
          <w:b/>
        </w:rPr>
        <w:t>E. 2.5.5</w:t>
      </w:r>
    </w:p>
    <w:p>
      <w:r>
        <w:t>Insgesamt erweist sich die Eingrenzung damit als verhältnismässig und ist die vorliegende Beschwerde abzuweisen.</w:t>
      </w:r>
    </w:p>
    <w:p>
      <w:r>
        <w:rPr>
          <w:b/>
        </w:rPr>
        <w:t>E. 3.1</w:t>
      </w:r>
    </w:p>
    <w:p>
      <w:r>
        <w:t>Bei diesem Ausgang des Verfahrens wird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3.2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Griffel [Hrsg.], Kommentar zum Verwaltungsrechtspflegegesetz des Kantons Zürich, 3. A., Zürich etc. 2014, § 16 N. 80 f.). Dem Gesuch um unentgeltliche Rechtsverbeiständung ist daher zu entsprechen und dem Beschwerdeführer antragsgemäss Rechtsanwältin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