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VB.2019.00097 vom 22. August 2019</w:t>
      </w:r>
    </w:p>
    <w:p>
      <w:r>
        <w:t>ZH Verwaltungsgericht, 2019-08-22, DE</w:t>
      </w:r>
    </w:p>
    <w:p>
      <w:r>
        <w:rPr>
          <w:b/>
        </w:rPr>
        <w:t xml:space="preserve">Quelle: </w:t>
      </w:r>
      <w:r>
        <w:t>https://mcp.opencaselaw.ch/entscheid/zh_verwaltungsgericht__VB.2019.00097</w:t>
      </w:r>
    </w:p>
    <w:p>
      <w:r>
        <w:t>FR: ZH_VERWALTUNGSGERICHT VB.2019.00097 du 22 août 2019</w:t>
      </w:r>
    </w:p>
    <w:p>
      <w:r>
        <w:t>IT: ZH_VERWALTUNGSGERICHT VB.2019.00097 del 22 agosto 2019</w:t>
      </w:r>
    </w:p>
    <w:p>
      <w:pPr>
        <w:pStyle w:val="Heading2"/>
      </w:pPr>
      <w:r>
        <w:t>Regeste</w:t>
      </w:r>
    </w:p>
    <w:p>
      <w:r>
        <w:t>Wasseranschlussgebühren | Löschwasseranschlussgebühr für eine Neubaute; Kostentragung neuer Hydranten [Die Vorinstanz hob die Verfügung einer Konzessionärin auf, die dem Beschwerdegegner eine Löschwasseranschlussgebühr auferlegt und ihn zum Bau eines Hydranten auf eigene Kosten verpflichtet hatte, weil die Unterkonzessionärin zur Erteilung der zugrundeliegenden Anschlussbewilligung zuständig gewesen wäre.] Beschwerdelegitimation von Konzessionärin und Unterkonzessionärin (E. 1.3). Rechtsgrundlagen und Ausgestaltung von Konzessionsvertrag und Unterkonzessionsvertrag im betreffenden Gebiet (E. 2). Zuständigkeit zur Anordnung der Erstellung eines neuen Löschwasserbezugspunktes (E. 4.2). Hydrantenanlagen (Hydranten und deren Zuleitungen) sind öffentliche Leitungen, aber als Anlagen der Feinerschliessung durch die angeschlossenen Grundeigentümer zu finanzieren (E. 4.3). Eine Anschlussgebühr für Löschwasser ist als Benutzungsgebühr zu qualifizieren und setzt nicht den Bestand einer Anschlussbewilligung voraus (E. 5). Eine Rückweisung bei offenem Verfahrensausgang entspricht einem vollen Obsiegen (E. 6.2). Keine Parteientschädigung für das obsiegende Gemeinwesen (E. 6.3). Rückweisung.</w:t>
      </w:r>
    </w:p>
    <w:p>
      <w:pPr>
        <w:pStyle w:val="Heading2"/>
      </w:pPr>
      <w:r>
        <w:t>Erwägungen</w:t>
      </w:r>
    </w:p>
    <w:p>
      <w:r>
        <w:rPr>
          <w:b/>
        </w:rPr>
        <w:t>E. 3</w:t>
      </w:r>
    </w:p>
    <w:p>
      <w:r>
        <w:t>Umstrittener Gegenstand der Präsidialverfügung der Wasserversorgungsgenossenschaft A vom 17. Juli 2018 bildeten die Verpflichtung des Beschwerdeführers, auf eigene Kosten einen neuen Hydranten nahe seines neuen Laufstalls zu erstellen, sowie eine damit erhobene Löschwasseranschlussgebühr. Der angefochtene Entscheid hob die Verfügung gesamthaft auf. Im Folgenden ist zunächst zu prüfen, ob die Vorinstanz die von den Beschwerdeführerinnen angestrebte Überwälzung von Erstellungskosten für den Löschschutz zu Recht als unzulässig erachtete (hiernach E. 4). Sodann ist zu beurteilen, ob die Löschwasseranschlussgebühr zu Recht aufgehoben wurde (nachfolgend E. 5).</w:t>
      </w:r>
    </w:p>
    <w:p>
      <w:r>
        <w:rPr>
          <w:b/>
        </w:rPr>
        <w:t>E. 4.1</w:t>
      </w:r>
    </w:p>
    <w:p>
      <w:r>
        <w:t>Die Präsidialverfügung der Wasserversorgungsgenossenschaft A vom 17. Juli 2018 verpflichtete den Beschwerdegegner in Ziff. 3, auf eigene Kosten einen neuen Löschwasserbezugspunkt zu erstellen, da der bestehende Hydrant zu nahe am Neubau gelegen sei. Im Rekursverfahren brachte der Beschwerdegegner als Rekurrent dagegen vor, dass der Brandschutz durch bestehende Hydranten bereits ausreichend gewährleistet sei. Die Vorinstanz äusserte sich nicht zu diesem Einwand, sondern hob die angefochtene Verfügung hinsichtlich der Erstellung eines neuen Hydranten einzig deswegen auf, weil keine Rechtsgrundlage für eine Überwälzung der Erstellungskosten auf den Beschwerdegegner gegeben sei.</w:t>
      </w:r>
    </w:p>
    <w:p>
      <w:r>
        <w:rPr>
          <w:b/>
        </w:rPr>
        <w:t>E. 4.2</w:t>
      </w:r>
    </w:p>
    <w:p>
      <w:r>
        <w:t>Gemäss Art. 11 des Konzessionsvertrages erstellt die Wasserversorgungsgenossenschaft A Hydranten und andere Löschvorrichtungen nach den Vorgaben der kantonalen Gebäudeversicherungsanstalt und des Kommandanten der Feuerwehr. Das Reglement der Wasserversorgungsgenossenschaft A über den Wasserbezug vom 9. Mai 2011 (fortan: Bezugsreglement) enthält weitere Vorschriften zu Hydrantenanlagen und verpflichtet Grundeigentümer in Art. 13, das Aufstellen von Hydranten auf ihren Grundstücken entschädigungslos zu dulden. In Art. 6 Abs. 1 des Unterkonzessionsvertrages wurde der Gemeinde B die Verpflichtung zur Sicherstellung der Löschwasserversorgung gemäss der kantonalen Feuerwehrgesetzgebung übertragen. Der Standort neuer Hydranten wird jedoch von den Konzessions gebern nach Rücksprache mit der Gemeinde B festgelegt, wobei die Konzessionsgeber für den Erwerb der erforderlichen Rechte zu sorgen haben (Art. 6 Abs. 2 Unterkonzessionsvertrag). Die Wasserversorgungsgenossenschaft A war folglich für die Anordnung über die Erstellung eines neuen Löschwasserbezugspunktes zuständig.</w:t>
      </w:r>
    </w:p>
    <w:p>
      <w:r>
        <w:rPr>
          <w:b/>
        </w:rPr>
        <w:t>E. 4.3</w:t>
      </w:r>
    </w:p>
    <w:p>
      <w:r>
        <w:t>Die Vorinstanz erwog demgegenüber, das Erstellen von Hydranten gehe gemäss Art. 6 Abs. 3 Unterkonzessionsvertrag zulasten der Gemeinde B. Allerdings berücksichtigte sie dabei nicht, dass der Unterkonzessionsvertrag die Kostentragung nur im Innenverhältnis regelt und im Licht übergeordneten Rechts zu betrachten ist. Hydrantenanlagen und deren Zuleitungen gehören zwar zu den öffentlichen Leitungen, sind im Kanton Zürich aber durch die angeschlossenen Grundeigentümer zu finanzieren, da es sich dabei um Anlagen der Feinerschliessung handelt (Christoph Fritzsche/Peter Bösch/Thomas Wipf/Daniel Kunz, Zürcher Planungs- und Baurecht, 6. A., Wädenswil 2019, S. 752; vgl. auch VGr, 26. Oktober 2006, VB.2006.00340, E. 2). Die Vorinstanz ging demzufolge zu Unrecht von der Unzulässigkeit einer Kostentragung durch den Beschwerdegegner aus und hätte sich mit den Einwänden des Rekurrenten auseinandersetzen müssen. Gestützt auf die vorliegenden Akten kann nicht beurteilt werden, ob sich die Erstellung eines neuen Löschwasserbezugspunkts bei den gegebenen Verhältnissen als notwendig erweist (in unmittelbarer Nähe und in grösserer Entfernung zum neuen Laufstall ist derzeit je ein Hydrant vorhanden). Die Sache ist deshalb insoweit zu weiteren Abklärungen und zu neuem Entscheid an die Vorinstanz zurückzuweisen (vgl. Marco Donatsch, Kommentar VRG, § 64 N. 8).</w:t>
      </w:r>
    </w:p>
    <w:p>
      <w:r>
        <w:rPr>
          <w:b/>
        </w:rPr>
        <w:t>E. 5.1</w:t>
      </w:r>
    </w:p>
    <w:p>
      <w:r>
        <w:t>Für die vom Gemeinwesen finanzierten Wasserversorgungsanlagen dürfen von den Grundeigentümern Beiträge und Gebühren verlangt werden (§ 29 WWG). Art. 19 lit. b Versorgungsreglement sieht die Erhebung von Anschlussgebühren für Löschwasser in der Gemeinde A vor. Die Zuständigkeit zum Erlass von Verfügungen betreffend Anschlusspflicht, Beiträge und Gebühren übertrug die Gemeinde A der Wasserversorgungsgenossenschaft A (Art. 1 Abs. 1 lit. b Konzessionsvertrag). Der Unterkonzessionsvertrag sieht keine Weiterübertragung dieser Befugnisse an die Gemeinde B vor. Dies ergibt sich aus Art. 11 Unterkonzessionsvertrag, wonach die Zuständigkeit für die Berechnung der verschiedenen Gebühren den Konzessionsgebern obliegt, sowie den für die Auslegung dieser Vorschrift heranzuziehenden Materialien. So wurde im Antrag des Gemeinderats H an die Gemeindeversammlung vom 28.10.2009 betreffend Zustimmung zu diesem Vertrag ausgeführt, dass für den Bezug der Wasserbezugsgebühren und Einkaufsgebühren bei Neubauten im Gebiet G die Konzessionsgeber, "also die Gemeinden resp. die Wassergenossenschaften" zuständig seien.</w:t>
      </w:r>
    </w:p>
    <w:p>
      <w:r>
        <w:rPr>
          <w:b/>
        </w:rPr>
        <w:t>E. 5.2</w:t>
      </w:r>
    </w:p>
    <w:p>
      <w:r>
        <w:t>Die Vorinstanz äusserte sich nicht ausdrücklich zur Zuständigkeit der Wasserversorgungsgenossenschaft A zur Erhebung von Anschlussgebühren, sondern erwog, dass die Erteilung einer Anschlussbewilligung ausserhalb der Zuständigkeit der Wasserversorgungsgenossenschaft A gelegen habe, weshalb diese Bewilligung aufzuheben sei. Damit entfalle auch die Grundlage für die Einforderung provisorischer Anschlussgebühren. Gemäss der im angefochtenen Entscheid angedachten Zuständigkeitsregelung hätte folglich vorab eine Anschlussbewilligung für den Löschwasseranschluss des Beschwerdegegners durch die Gemeinde B erlassen werden müssen, damit dem Beschwerdegegner in der Folge eine Löschwasseranschlussgebühr hätte auferlegt werden können.</w:t>
      </w:r>
    </w:p>
    <w:p>
      <w:r>
        <w:rPr>
          <w:b/>
        </w:rPr>
        <w:t>E. 5.3</w:t>
      </w:r>
    </w:p>
    <w:p>
      <w:r>
        <w:t>Die in der Verfügung vom 17. Juli 2018 provisorisch veranlagte Löschwasseranschlussgebühr soll der Beschwerdegegner für den Anschluss seiner Neubaute an die Löschwasserversorgung bezahlen. Es handelt sich dabei um eine Geldleistung, welche der Beschwerdegegner für seine Neubaute kraft öffentlichen Rechts als Entgelt für bestimmte staatliche Leistungen oder besondere Vorteile bezahlen soll. Eine solche Geldleistung ist als Kausalabgabe zu qualifizieren, die sich aufgrund der individuellen Zurechenbarkeit staatlicher Leistungen von den Steuern unterscheidet (Ulrich Häfelin/Georg Müller/Felix Uhlmann, Allgemeines Verwaltungsrecht, 7. A., Zürich 2016, N. 2758).</w:t>
      </w:r>
    </w:p>
    <w:p>
      <w:r>
        <w:rPr>
          <w:b/>
        </w:rPr>
        <w:t>E. 5.4</w:t>
      </w:r>
    </w:p>
    <w:p>
      <w:r>
        <w:t>Die umstrittene Kausalabgabe ist nicht für das Ausstellen einer Anschlussbewilligung an das Löschwassernetz geschuldet, was sich bereits aus dem Umstand ergibt, dass die Gebühr mit Verfügung vom 17. Juli 2018 zunächst provisorisch veranlagt wurde und erst nach Erstellung der Neubaute definitiv festgesetzt wird. Die Löschwassergebühr ist auch nicht Gegenleistung für die Erstellung von Löschwasserbezugspunkten auf dem Grundstück des Beschwerdeführers, müssen diese als Anlagen der Feinerschliessung doch vom Grundeigentümer selbst auf entsprechende Anordnung hin erstellt und finanziert werden (hiervor E. 4.3). Ein (bewilligungspflichtiger) Anschluss der Neubaute an das Löschwassernetz im eigentlichen Sinn – etwa durch das Anschliessen einer Sprinkleranlage – erfolgt vorliegend ebenfalls nicht. Der Rechtsgrund einer Löschwasseranschlussgebühr liegt vielmehr in der Sicherstellung des Löschschutzes für die Neubaute (vgl. ebenso: Verwaltungsgericht des Kantons Bern, 26. Juni 2015, 100.2014.177U, E. 4.3). Gemäss der Rechtsprechung des Verwaltungsgerichts ist die ständige Bereitstellung von Löschwasser, die nicht nur der Allgemeinheit, sondern auch den privaten Grundeigentümern dient, eine Leistung, für die von den betreffenden Grundeigentümern eine Gebühr eingefordert werden kann. Dabei steht es dem Hauseigentümer nicht frei, ob er im Brandfall die Löschwassereinrichtungen benützen will; die Feuerwehr ist bei Bränden verpflichtet, die vorhandenen Löschwassereinrichtungen zu benutzen. Auslöser der Gebührenpflicht ist nicht erst die tatsächliche Benützung der öffentlichen Einrichtung, sondern der Umstand, dass das Gemeinwesen diese zur Verfügung stellt und so unterhält, dass eine Benützung jederzeit gewährleistet ist (VGr, 28. Februar 2012, AN.2011.00004, E. 7.1). Unabhängig davon, ob einmalig oder wiederkehrend erhoben, ist eine solche Abgabe stets als Benutzungsgebühr zu qualifizieren (vgl. VGr, 29. September 2004, VB.2004.00265, E. 4.2.1; René Wiederkehr/Paul Richli, Praxis des allgemeinen Verwaltungsrechts, Bd. II, Bern 2014, Rz. 1029).</w:t>
      </w:r>
    </w:p>
    <w:p>
      <w:r>
        <w:rPr>
          <w:b/>
        </w:rPr>
        <w:t>E. 5.5</w:t>
      </w:r>
    </w:p>
    <w:p>
      <w:r>
        <w:t>Entgegen der vorinstanzlichen Auffassung setzt die Erhebung einer Löschwasseranschlussgebühr nach dem Gesagten nicht den Bestand einer Bewilligung im Rechtssinn betreffend Löschwasserbezug voraus. Vielmehr folgt die Gebührenpflicht aus der vom Gemeinwesen für die Grundeigentümer erbrachten Leistung, eine Löschwasserversorgung zu betreiben, weshalb die Vorinstanz die verfügte Gebühr nicht gestützt auf ihre Aufhebung der Anschlussbewilligung – welche ausserhalb des Verfahrensgegenstandes liegt (vorstehend E. 1.4) – hätte aufheben dürfen. Der angefochtene Entscheid erweist sich insoweit als rechtsfehlerhaft (vgl. § 50 VRG) und ist aufzuheben. Da eine umfassende Beurteilung der Rechtmässigkeit der verfügten Gebühr weitere tatsächliche Abklärungen erfordert und die Sache ohnehin an die Vorinstanz zurückzuweisen ist (vorstehend E. 4.3), ist auch insoweit eine Rückweisung an die Vorinstanz zu neuem Entscheid vorzunehmen. Damit erübrigen sich Weiterungen zu den sich angesichts dieses Ergebnisses stellenden Fragen, ob sich eine provisorische Gebührenerhebung vor Baubeginn bzw. die Gebühr überhaupt auf eine ausreichende gesetzliche Grundlage zu stützen vermag und die konkrete Gebührenauferlegung und -berechnung auch in sonstiger Hinsicht rechtmässig erfolgte.</w:t>
      </w:r>
    </w:p>
    <w:p>
      <w:r>
        <w:rPr>
          <w:b/>
        </w:rPr>
        <w:t>E. 6.1</w:t>
      </w:r>
    </w:p>
    <w:p>
      <w:r>
        <w:t>Die Beschwerde ist folglich gutzuheissen, soweit darauf einzutreten ist. Der angefochtene Entscheid vom 9. Januar 2019 ist aufzuheben, und die Sache ist zum Neuentscheid im Sinn der Erwägungen an die Vorinstanz zurückzuweisen.</w:t>
      </w:r>
    </w:p>
    <w:p>
      <w:r>
        <w:rPr>
          <w:b/>
        </w:rPr>
        <w:t>E. 6.2</w:t>
      </w:r>
    </w:p>
    <w:p>
      <w:r>
        <w:t>Praxisgemäss entspricht eine Rückweisung bei offenem Ausgang des Verfahrens einem vollen Obsiegen (VGr, 9. Mai 2019 , VB.2018.00348, E. 4.2 mit Hinweisen). Ein teilweises Obsiegen läge dann vor, wenn nach der vorzunehmenden Neubeurteilung das ursprüngliche Begehren der beschwerdeführenden Partei höchstens teilweise gutgeheissen werden könnte (BGr, 1. Juli 2015, 1C_597/2014, E. 6.1; BGr, 16. Februar 2016, 2C_809/2015, E. 6.3). Dies trifft vorliegend nicht zu; vielmehr erscheint im Licht des Gesagten offen, ob die Verfügung vom 17. Juli 2018 in materieller Hinsicht vor dem Recht standhält. Die Gerichtskosten sind demzufolge dem Beschwerdegegner aufzuerlegen.</w:t>
      </w:r>
    </w:p>
    <w:p>
      <w:r>
        <w:rPr>
          <w:b/>
        </w:rPr>
        <w:t>E. 6.3</w:t>
      </w:r>
    </w:p>
    <w:p>
      <w:r>
        <w:t>Ausgangsgemäss ist dem Beschwerdegegner keine Parteientschädigung zuzusprechen (§ 17 Abs. 2 VRG). Die im Sinn von E. 6.2 hiervor obsiegenden Beschwerdegegnerinnen ersuchen ebenfalls um Ausrichtung einer Parteientschädigung. Gemeinwesen steht eine solche indes gemäss ständiger Rechtsprechung nur in Ausnahmefällen, insbesondere bei ausserordentlichen Bemühungen, zu (anstelle vieler VGr, 7. Februar 2019, VB.2018.00486, E. 5.2). Dieser Grundsatz gilt im vorliegenden Verfahren hinsichtlich beider Beschwerdeführerinnen, weil die Wasserversorgungsgenossenschaft A mit Verfügung vom 17. Juli 2018 in Wahrnehmung öffentlicher Aufgaben hoheitlich handelte (vgl. Plüss, § 17 N. 52). Die Entschädigungsberechtigung des Gemeinwesens entfällt in der Regel, weil das Er­heben und Beantworten von Rechtsmitteln zu den angestammten amtlichen Aufgaben gehört, der Aufwand für das Rechtsmittelverfahren jenen nicht wesentlich übertrifft, den das Gemeinwesen oder der öffentliche Aufgabenträger im Rahmen des nichtstreitigen Verfahrens ohnehin erbringen musste, und die Behörden gegenüber den Privaten meist einen Wissensvorsprung aufweisen (Plüss, § 17 N. 51; VGr, 8. Mai 2019, VB.2018.00556, E. 9.2). Auf eine Zusprechung von Parteientschädigungen ist deshalb zu verzichten.</w:t>
      </w:r>
    </w:p>
    <w:p>
      <w:r>
        <w:rPr>
          <w:b/>
        </w:rPr>
        <w:t>E. 7</w:t>
      </w:r>
    </w:p>
    <w:p>
      <w:r>
        <w:t>Letztinstanzliche kantonale Rückweisungsentscheide sind als Zwischenentscheide im Sinn von Art. 93 des Bundesgerichtsgesetzes vom 17. Juni 2005 (BGG) zu qualifizieren (BGE 133 V 477 E. 4.2). Anders verhält es sich nur dann, wenn der unteren Instanz, an welche zurückgewiesen wird, kein Entscheidungsspielraum mehr verbleibt und die Rückweisung nur noch der Umsetzung des oberinstanzlich Angeordneten dient (BGE 138 I 143 E. 1.2), was hier jedoch nicht der Fall ist. Der vorliegende Entscheid ist vor Bundesgericht daher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