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VB.2018.00632 vom 1. Oktober 2018</w:t>
      </w:r>
    </w:p>
    <w:p>
      <w:r>
        <w:t>ZH Verwaltungsgericht, 2018-10-01, DE</w:t>
      </w:r>
    </w:p>
    <w:p>
      <w:r>
        <w:rPr>
          <w:b/>
        </w:rPr>
        <w:t xml:space="preserve">Quelle: </w:t>
      </w:r>
      <w:r>
        <w:t>https://mcp.opencaselaw.ch/entscheid/zh_verwaltungsgericht__VB.2018.00632</w:t>
      </w:r>
    </w:p>
    <w:p>
      <w:r>
        <w:t>FR: ZH_VERWALTUNGSGERICHT VB.2018.00632 du 1 octobre 2018</w:t>
      </w:r>
    </w:p>
    <w:p>
      <w:r>
        <w:t>IT: ZH_VERWALTUNGSGERICHT VB.2018.00632 del 1 ottobre 2018</w:t>
      </w:r>
    </w:p>
    <w:p>
      <w:pPr>
        <w:pStyle w:val="Heading2"/>
      </w:pPr>
      <w:r>
        <w:t>Regeste</w:t>
      </w:r>
    </w:p>
    <w:p>
      <w:r>
        <w:t>Aufenthaltsbewilligung | [Nichteintreten infolge Kautionssäumnis] Der Beschwerdeführer ersuchte mit Eingabe vom 27./29. Oktober 2018 darum, eine ihm mit Präsidialverfügung vom 1. Oktober 2018 abverlangte Sicherheit in vier Raten bezahlen zu dürfen. Der Abteilungspräsident gestattete ihm das mit Verfügung vom 29. Oktober 2018 – unter dem Hinweis, es gebe keinen Anspruch hierauf und weitere Fristerstreckungen fielen ausser Betracht – in dem Sinn eingeschränkt, dass das Erbringen des Kostenvorschusses immerhin später als ursprünglich vorgesehen in drei Monatsraten zu je Fr. 700.- geschehen müsse, nämlich bis Ende November sowie Dezember jenes Jahres und Januar 2019; dabei zöge Säumnis auch nur mit einer Rate Nichteintreten auf das Rechtsmittel nach sich. Der Beschwerdeführer leistete die erste Rate fristgerecht, hingegen bis heute nicht die per 31. Dezember 2018 zu zahlende. Abweisung UP/URB. Nichteintreten.</w:t>
      </w:r>
    </w:p>
    <w:p>
      <w:pPr>
        <w:pStyle w:val="Heading2"/>
      </w:pPr>
      <w:r>
        <w:t>Erwägungen</w:t>
      </w:r>
    </w:p>
    <w:p>
      <w:r>
        <w:rPr>
          <w:b/>
        </w:rPr>
        <w:t>E. 4</w:t>
      </w:r>
    </w:p>
    <w:p>
      <w:r>
        <w:t>Ausgangsgemäss gestützt auf § 65a Abs. 2 in Verbindung mit § 13 Abs. 2 Satz 1 sowie § 17 Abs. 2 VRG gilt es die Gerichtskosten dem als Verlierer erscheinenden Beschwerdeführer aufzuerlegen und ihm keine Parteientschädigung zuzusprechen (Plüss, § 65a N. 20 in Verbindung mit § 13 N. 65, § 17 N. 29; VGr, 7. Dezember 2018, VB.2018.00770, E. 3).</w:t>
      </w:r>
    </w:p>
    <w:p>
      <w:r>
        <w:rPr>
          <w:b/>
        </w:rPr>
        <w:t>E. 5</w:t>
      </w:r>
    </w:p>
    <w:p>
      <w:r>
        <w:t>Zur Rechtsmittelbelehrung in Ziff. 7 des nachstehenden Verfügungsdispositivs bleibt Folgendes zu erläutern: Soweit im Hintergrund ein Anwesenheitsanspruch des Beschwerdeführers geltend gemacht werden will, ist Beschwerde in öffentlichrechtlichen Angelegenheiten nach Art. 82 ff. des Bundesgerichtsgesetzes vom 17. Juni 2005 (BGG, SR 173.110) zu erheben (vgl. Art. 83 lit. c Ziff. 2 BGG e contrario; BGE 139 I 330 E. 1.1; Daniela Thurnherr in: Martina Caroni/Thomas Gächter/Daniela Thurnherr [Hrsg.], Bundesgesetz über die Ausländerinnen und Ausländer [AuG], Bern 2010, Art. 112 N. 39 ff.; Hansjörg Seiler in: derselbe et al., Bundesgerichtsgesetz [BGG], 2. A., Bern 2015, Art. 83 N. 25 ff.; Thomas Häberli, Basler Kommentar, 2018, Art. 83 BGG N. 65 ff.). Andernfalls und im Wegweisungspunkt steht lediglich die subsidiäre Verfassungsbeschwerde gemäss Art. 113 ff. BGG – teilweise in Verbindung mit Art. 83 lit. c Ziff. 4 BGG – zu Gebot (siehe zu ihrer hier besonders beschränkten Reichweite Peter Nideröst, Sans-Papiers in der Schweiz, in: Peter Uebersax et al. [Hrsg.], Ausländerrecht, 2. A., Basel 2009, S. 373 ff., Rz. 9.33; Thurnherr, Art. 112 N. 72–75; Seiler, Art. 83 N. 24, Art. 115 N. 27; Häberli, Art. 83 N. 61). Das Ergreifen beider Rechtsmittel müsste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