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VB.2018.00584 vom 9. Mai 2019</w:t>
      </w:r>
    </w:p>
    <w:p>
      <w:r>
        <w:t>ZH Verwaltungsgericht, 2019-05-09, DE</w:t>
      </w:r>
    </w:p>
    <w:p>
      <w:r>
        <w:rPr>
          <w:b/>
        </w:rPr>
        <w:t xml:space="preserve">Quelle: </w:t>
      </w:r>
      <w:r>
        <w:t>https://mcp.opencaselaw.ch/entscheid/zh_verwaltungsgericht__VB.2018.00584</w:t>
      </w:r>
    </w:p>
    <w:p>
      <w:r>
        <w:t>FR: ZH_VERWALTUNGSGERICHT VB.2018.00584 du 9 mai 2019</w:t>
      </w:r>
    </w:p>
    <w:p>
      <w:r>
        <w:t>IT: ZH_VERWALTUNGSGERICHT VB.2018.00584 del 9 maggio 2019</w:t>
      </w:r>
    </w:p>
    <w:p>
      <w:pPr>
        <w:pStyle w:val="Heading2"/>
      </w:pPr>
      <w:r>
        <w:t>Regeste</w:t>
      </w:r>
    </w:p>
    <w:p>
      <w:r>
        <w:t>Nothilfe | Nothilfe: teilweise verweigerte Auszahlung der Beiträge und Unterbringung in unterirdischer Unterkunft. Der Beschwerdegegner verletzte das rechtliche Gehör des Beschwerdeführers, indem er ihm trotz mehrmaliger Aufforderung keine Einsicht in die vollständigen Akten gewährte. Auch die Vorinstanz verletzte das rechtliche Gehör des Beschwerdeführers, indem sie ihm die Möglichkeit nahm, sich im hängigen Rekursverfahren zu den Akten zu äussern. Stattdessen hat sie im Dispositiv ihres Rekursentscheids den Beschwerdegegner angewiesen, dem Beschwerdeführer Akteneinsicht zu gewähren. Heilung trotz der schweren Verletzung des rechtlichen Gehörs (E. 2.1). Grundsätze zur Berücksichtigung eines Rechtsgutachtens (E. 2.2.1). Indem die Vorinstanz sich nicht mit dem vom Beschwerdeführer eingereichten Rechtsgutachten auseinandersetzte, verletzte sie ihre Begründungspflicht; Heilung (E. 2.2.4 f.). Grundsätze zur Ausrichtung der Nothilfe (E. 3). Die Kontrolle der Anwesenheit in der Unterkunft dient der Feststellung der Bedürftigkeit. Bei Personen, welche die Anwesenheitskontrolle nicht absolvieren, wird vermutet, dass sie nicht in der ihnen zugewiesenen Unterkunft wohnen bzw. übernachten und demnach nicht bedürftig sind. Dabei handelt es sich um eine tatsächliche Vermutung, welche mittels Gegenbeweis umgestossen werden kann (E. 4.3). Die Betreiberin der Unterkunft ist nicht berechtigt, darüber zu entscheiden, ob die Anspruchsvoraussetzungen erfüllt sind. Deshalb ist es am Beschwerdegegner, auf Begehren des Hilfeempfängers eine Verfügung zu erlassen und dabei den Sachverhalt festzustellen. Nur wenn sich aus leicht zugänglichen Beweismitteln keine Klarheit ergibt, kann er sich der Vermutung bedienen. Da dem Hilfesuchenden der Gegenbeweis offensteht, bedarf es eines entsprechenden Verfahrens, in welchem den Betroffenen ermöglicht werden muss, die relevanten Angaben zu liefern. Vorliegend, wo es um die Behebung einer zeitlich unmittelbar bestehenden Notlage und die Erbringung zeitlichdringender Leistungen geht, ist es problematisch, dass die verfügungsbefugte Behörde erst nachträglich den relevanten Sachverhalt abklärt, das rechtliche Gehör gewährt und durch Erlass einer Verfügung den Rechtsweg eröffnet. Deshalb hat der Beschwerdegegner eine solche auf genügender Sachverhaltsabklärung basierende Verfügung innert sehr kurzer Frist zu erlassen (E. 4.4). Soweit der Beschwerdeführer die Vermutung, dass er nicht bedürftig sei, umzustossen vermochte, hätte der Beschwerdegegner dem Beschwerdeführer finanzielle Nothilfe ausrichten müssen, auch wenn dieser die Kontrollzeiten um einige Minuten verpasst hatte (E. 4.5). In diesem Fall, in welchem die Bedürftigkeit erst nachträglich geltend gemacht werden kann, ist die finanzielle Nothilfe auch nachträglich auszurichten (E. 4.6). Grundsätzlich besteht für abgewiesene Asylbewerber kein Anspruch auf Zuteilung in eine bestimmte Unterkunft. Anders kann es sich dann verhalten, wenn die Zuteilung Rechte und Pflichten des Nothilfebezügers, insbesondere dessen Grundrechte berührt. Die Unterbringung in einer unterirdischen Unterkunft an sich erfüllt nicht das geforderte Mindestmass für eine Verletzung nach Art. 3 EMRK (E. 5.2). Der Beschwerdeführer hat jedoch mittels diversen ärztlichen Berichten in genügender Weise dargelegt, dass es ihm aus medizinischen Gründen unzumutbar sei, sich in einer unterirdischen Unterkunft aufhalten zu müssen (E. 5.4). Rechtsverzögerung durch die Vorinstanz, indem sie das Gesuch um vorsorgliche Massnahmen nicht beförderlich behandelte (E. 6.4). UP/URB (E. 7.3). Teilweise Gutheissung.</w:t>
      </w:r>
    </w:p>
    <w:p>
      <w:pPr>
        <w:pStyle w:val="Heading2"/>
      </w:pPr>
      <w:r>
        <w:t>Erwägungen</w:t>
      </w:r>
    </w:p>
    <w:p>
      <w:r>
        <w:rPr>
          <w:b/>
        </w:rPr>
        <w:t>E. 5.1</w:t>
      </w:r>
    </w:p>
    <w:p>
      <w:r>
        <w:t>Der Beschwerdeführer beantragt, er sei umgehend von der Notunterkunft C in eine andere – oberirdische – Notunterkunft ohne Massenschlag umzuteilen. Dazu bringt er vor, dass es sich bei der Notunterkunft C um eine unterirdische Zivilschutzanlage mit Massenschlägen und Bettwanzenbefall handle; eine solche Unterbringung verletze angesichts seines schlechten Gesundheitszustandes – bei ihm sei Tuberkulose diagnostiziert worden, und er verfüge über einen schlechten Allgemeinzustand – und der ohnehin schon durch die Eingrenzung eingeschränkten Bewegungsfreiheit die Menschenwürde. Da er bereits seit mehreren Monaten dort untergebracht sei, könne nicht mehr von einer bloss provisorischen respektive vorübergehenden Unterbringung im Sinn von BGE 139 I 272 gesprochen werden.</w:t>
      </w:r>
    </w:p>
    <w:p>
      <w:r>
        <w:rPr>
          <w:b/>
        </w:rPr>
        <w:t>E. 5.1.1</w:t>
      </w:r>
    </w:p>
    <w:p>
      <w:r>
        <w:t>Die Vorinstanz wies den Antrag des Beschwerdeführers um Umteilung in eine oberirdische Unterkunft mit der Begründung ab, der Beschwerdeführer habe nicht ausreichend dargelegt, dass medizinische Gründe für eine Umteilung sprächen. Der Beschwerdegegner habe abgeklärt, dass das Arztzeugnis vom 16. August 2017, wonach der Beschwerdeführer aus psychiatrischen Gründen oberirdisch unterzubringen sei, durch den Verfasser als gegenstandslos erklärt worden sei. Es hätte am Beschwerdeführer gelegen, daraufhin eine entsprechende Richtigstellung des behandelnden Psychiaters einzureichen. Daran vermöge das Schreiben von Dr. med. G vom 27. Februar 2018 nichts ändern, da das oberflächlich gehaltene Schreiben den Eindruck einer Gefälligkeit erwecke und der Verfasser Suchtmediziner sei. Sodann werde nicht begründet, inwiefern eine depressive Episode mit dem Leben in einer unterirdischen Unterkunft unvereinbar sei. Zwar weise das Überweisungsschreiben des H-Spitals vom 21. Januar 2018 auf die Gefahr einer Tuberkuloseerkrankung hin, das Bestehen einer akuten und hochansteckenden Tuberkulose oder einer anderen schweren Erkrankung scheine sich mangels weiterer eingereichten Unterlagen seitens des Beschwerdeführers allerdings nicht bestätigt zu haben.</w:t>
      </w:r>
    </w:p>
    <w:p>
      <w:r>
        <w:rPr>
          <w:b/>
        </w:rPr>
        <w:t>E. 5.1.2</w:t>
      </w:r>
    </w:p>
    <w:p>
      <w:r>
        <w:t>Dem Beschwerdegegner zufolge ist der Beschwerdeführer zwar nicht vollkommen gesund, allerdings seien seine gesundheitlichen Beschwerden nicht derart, dass sie einer Unterbringung in der NUK C entgegenstünden.</w:t>
      </w:r>
    </w:p>
    <w:p>
      <w:r>
        <w:rPr>
          <w:b/>
        </w:rPr>
        <w:t>E. 5.2</w:t>
      </w:r>
    </w:p>
    <w:p>
      <w:r>
        <w:t>Abgewiesene Asylbewerber stehen gegenüber den Behörden in einem besonderen Abhängigkeitsverhältnis. Dieses führt einerseits zu einem Anspruch auf Hilfeleistungen, bringt es aber auch mit sich, dass sich der Betroffene gewissen Zwängen unterziehen muss, die seine Freiheit einschränken können. Diese Zwänge sollen in einem zumutbaren Rahmen bleiben und zu keiner schwerwiegenden Verletzung von Grundrechten führen (BGE 139 I 272 = Pra 2014 Nr. 54 E. 3.2; BGE 135 I 119 = Pra 2009 Nr. 107 E. 8.2). Dies gilt insbesondere bei der Zu- oder Umteilung von Nothilfeempfängern an eine Unterkunft des Kantons oder einer Gemeinde; handelt es sich dabei doch um eine organisatorische Anordnung im Rahmen des besonderen Rechtsverhältnisses, die auf tatsächlichen Erfolg und zumindest nicht primär auf eine bestimmte Rechtsfolge ausgerichtet ist. Grundsätzlich greifen solche organisatorischen Anordnungen nicht in die Rechtsstellung des Nothilfeempfängers ein und sind in der Regel auch nicht anfechtbar. Deshalb besteht auch kein Anspruch auf Zuteilung in eine bestimmte Unterkunft. Anders kann es sich dann verhalten, wenn die organisatorische Anordnung Rechte und Pflichten des Nothilfebezügers, insbesondere dessen Grundrechte, berührt (BGr, 25. August 2014, 8C_435/2014, E. 2.3; VGr, 4. Dezember 2014, VB.2014.00132, E. 5.1).</w:t>
      </w:r>
    </w:p>
    <w:p>
      <w:r>
        <w:rPr>
          <w:b/>
        </w:rPr>
        <w:t>E. 5.2.1</w:t>
      </w:r>
    </w:p>
    <w:p>
      <w:r>
        <w:t>Grundsätzlich ist es mit dem Recht auf Hilfe in Notlagen nach Art. 12 BV, welches eng mit der in Art. 7 BV garantierten Achtung der Menschenwürde verbunden ist, vereinbar, in einer unterirdischen Gemeinschaftsunterkunft übernachten zu müssen (BGE 139 I 272 = Pra 2014 Nr. 54 E. 3.4).</w:t>
      </w:r>
    </w:p>
    <w:p>
      <w:r>
        <w:rPr>
          <w:b/>
        </w:rPr>
        <w:t>E. 5.2.2</w:t>
      </w:r>
    </w:p>
    <w:p>
      <w:r>
        <w:t>Auch im Hinblick auf das Verbot der unmenschlichen oder erniedrigenden Behandlung nach Art. 3 EMRK (bzw. Art. 10 Abs. 3 BV) ist die Unterbringung von abgewiesenen Asylbewerbern in einer unterirdischen Zivilschutzanlage grundsätzlich zulässig (BGE 139 I 272 = Pra 2014 Nr. 54 E. 4). Art. 3 EMRK verlangt für das Vorliegen einer Verletzung eine minimale Schwere (Jörg Paul Müller/Schefer Markus, Grundrechte in der Schweiz, Bern 2008, 4. A., S. 61). Ob dieses Mindestmass erreicht ist, bedarf einer relativen Würdigung der Umstände des Einzelfalls; insbesondere sind die Natur und die Umstände der Behandlung, deren Dauer, deren physische oder mentale Auswirkungen, allenfalls das Geschlecht und Alter sowie der Gesundheitszustand des Betroffenen zu berücksichtigen (Jens Meyer-Ladewig/Matthias Lehnert, in: Jens Meyer-Ladewig/Martin Nettesheim/Stefan von Raumer [Hrsg.], EMRK Handkommentar, Baden-Baden 2017, 4. A., Art. 3 N. 19; anstatt vieler: EGMR, 23. November 2017, Tadic gegen Kroatien, 10633/15, Rn. 47). Die minimale Schwere ist beispielsweise dann nicht erreicht, wenn eine disziplinarische Haftstrafe in einer Zelle mit elektrischem Licht und teilweise beschädigter Lüftung abzusitzen ist (BGE 124 I 231 = Pra 1998 Nr. 165 E. 2c und 2c/bb). Sie ist erreicht bei einer Behandlung, die wirkliche Verletzungen zufügen kann, zumindest wesentliche körperliche oder geistige Leiden, die erniedrigende Gefühle, Angst- und Minderwertigkeitsgefühle hervorrufen und gegebenenfalls den physischen oder geistigen Widerstand brechen soll (BGE 124 I 231 = Pra 1998 Nr. 165 E. 2b mit Hinweisen).</w:t>
      </w:r>
    </w:p>
    <w:p>
      <w:r>
        <w:rPr>
          <w:b/>
        </w:rPr>
        <w:t>E. 5.2.3</w:t>
      </w:r>
    </w:p>
    <w:p>
      <w:r>
        <w:t>Zwar bringt die Unterkunft in einer unterirdischen Zivilschutzanlage wenig Komfort; insbesondere dürften die Verhältnisse relativ eng sein, es fehlt an Tageslicht, und die Luftzufuhr erfolgt via Lüftung. Gewisse Einschränkungen der eigenen Freiheiten gehen allerdings mit dem besonderen Rechtsverhältnis einher, in welchem die abgewiesenen Asylsuchenden zum Staat stehen (oben, E. 3.1). Die unterirdische Unterbringung an sich erfüllt nicht das geforderte Mindestmass für eine Verletzung von Art. 3 EMRK, insbesondere auch unter dem Aspekt, dass bei abgewiesenen Asylbewerbern der Ausrichtung von Nothilfe regelmässig nur der Charakter einer vorübergehenden Überbrückungshilfe zukommt (BGE 139 I 272 = Pra 2014 Nr. 54 E. 4; BGE 135 I 119 = Pra 2009 Nr. 107 E. 7.2; oben, E. 3.1). Die Betroffenen können sich in und um die Unterkunft frei bewegen. So steht es ihnen auch offen, die Unterkunft jederzeit zu verlassen; von einer Unterbringung ohne jegliches Tageslicht und ohne Möglichkeit auf frische Luft kann demnach nicht die Rede sein. Anders wäre zu entscheiden, wenn die Unterbringung für die Betroffenen wesentliche psychische oder physische Folgen hätte, es sich um besonders verletzliche Personen handelt oder ein Zwang besteht, den ganzen Tag oder Teile davon in der Unterkunft zu verbringen (BGE 139 I 272 = Pra 2014 Nr. 54 E. 4; Kathrin Amstutz, Das Grundrecht auf Existenzsicherung, Diss., Bern 2002, S. 219 f.).</w:t>
      </w:r>
    </w:p>
    <w:p>
      <w:r>
        <w:rPr>
          <w:b/>
        </w:rPr>
        <w:t>E. 5.3</w:t>
      </w:r>
    </w:p>
    <w:p>
      <w:r>
        <w:t>Der Beschwerdeführer beruft sich für die geltend gemachte Verletzung von Art. 3 EMRK hauptsächlich auf seinen schlechten Allgemeinzustand, welcher vom Beschwerdegegner wie auch von der Vorinstanz infrage gestellt wurde. Der Beschwerdeführer reichte dem Beschwerdegegner ein ärztliches Zeugnis von Dr. med. I, Facharzt FMH Psychiatrie und Psychotherapie, – ausgestellt am 16. August 2017 – ein, wonach der Beschwerdeführer aus psychiatrischer Sicht in eine oberirdische Wohnsituation zu wechseln habe, da dieser unter Ängsten und Phobien leide. Durch das unterirdische Wohnen könne es zu einer Dekompensation des psychischen Zustandes kommen. Der Beschwerdegegner führt in seiner Verfügung vom 19. Januar 2018 aus, dass eine Nachfrage bei Dr. med. I ergeben habe, dass dieser von falschen Voraussetzungen ausgegangen sei und das Zeugnis deshalb als gegenstandslos werte. So lässt sich einer Notiz des Beschwerdegegners vom 18. August 2017 entnehmen, dass eine Rücksprache bei Dr. med. I ergeben habe, dass diesem nicht bekannt gewesen sei, dass der Beschwerdeführer bereits vorgängig unterirdisch platziert gewesen sei. Die anfragende Person verblieb mit Dr. med. I so, dass das Zeugnis als gegenstandslos erachtet wurde. Daraufhin reichte der Beschwerdeführer im Rahmen des Rekurses weitere medizinische Berichte ein. Dem Austrittsbericht des H-Spitals vom 2. Januar 2018 zufolge wurde beim Beschwerdeführer ein grippaler Infekt mit Gliederschmerzen, eine "Vd.a. akute Niereninsuffizienz AKIN I, a.e. Prärenal, DD vorbestehend", eine chronische Diarrhoe sowie eine chronische Dysurie diagnostiziert. Ansonsten wurde dem Beschwerdeführer ein guter Allgemein- und Ernährungszustand attestiert. Gemäss dem vom 21. Januar 2018 datierenden Überweisungsschreiben von Dr. med. J an das H-Spitalleide der Patient seit einer Woche an einer Verschlechterung des Allgemeinzustandes mit Hitzegefühl in den Beinen und Unwohlsein, die Nierenwerte hätten sich wieder erholt. Im Weiteren habe der Quantiferontest ein positives Ergebnis ergeben, weshalb der Arzt an einer Probenentnahme für Tuberkelbakterien interessiert sei, und er bitte um die Durchführung einer Koloskopie. Am 27. Februar 2018 erstellte Dr. med. G des suchtmedizinischen Zentrums K zuhanden des Rechtsvertreters des Beschwerdeführers einen Bericht. Demzufolge stehe der Beschwerdeführer dort seit Dezember 2017 in einer psychiatrischen und psychotherapeutischen Behandlung. Die Unterbringungssituation habe zu einer Verschlechterung des Gesundheitszustandes des Beschwerdeführers geführt, weshalb die Unterbringung in einer unterirdischen Notunterkunft nicht als zumutbar erachtet werde. Nach Möglichkeit sollte die Unterbringung in einer überirdischen, hellen Einzelunterkunft erfolgen, in welcher der Beschwerdeführer in eine Struktur eingebunden werden könnte. Gemäss Beschwerdeführer habe sich inzwischen herausgestellt, dass er an einer latenten Tuberkulose leide. Soweit der Beschwerdeführer vorbringt, dass die F AG darüber entscheide, ob er sich jeweils in ärztliche Behandlung begeben dürfe, ist dies nicht genügend substanziiert. Insbesondere führt der Beschwerdeführer nicht aus, bei welchen konkreten Gelegenheiten ihm der Zugang zur medizinischen Grundversorgung verweigert worden wäre.</w:t>
      </w:r>
    </w:p>
    <w:p>
      <w:r>
        <w:rPr>
          <w:b/>
        </w:rPr>
        <w:t>E. 5.4</w:t>
      </w:r>
    </w:p>
    <w:p>
      <w:r>
        <w:t>Das Verwaltungsgericht hat bereits in einem Entscheid betreffend die Eingrenzung des Beschwerdeführers festgehalten, dass die Eingrenzung auf die Gemeinde C aufzuheben sei, da der Beschwerdeführer aus medizinischen Gründen in eine oberirdische Wohnsituation zu wechseln habe (VGr, 1. März 2018, VB.2017.00767, E. 3.5 f.). Die ärztlichen Unterlagen lassen jedenfalls nicht den Schluss zu, dass sich der Gesundheitszustand des Beschwerdeführers seit diesem Entscheid verbessert habe.</w:t>
      </w:r>
    </w:p>
    <w:p>
      <w:r>
        <w:rPr>
          <w:b/>
        </w:rPr>
        <w:t>E. 5.4.1</w:t>
      </w:r>
    </w:p>
    <w:p>
      <w:r>
        <w:t>Auch wenn davon auszugehen wäre, dass die Annahme des Beschwerdegegners, das eingereichte Arztzeugnis vom 16. August 2017 sei gegenstandslos, berechtigt wäre, käme dem Beschwerdeführer, weil er daraufhin weitere drei ärztliche Berichte einreichte, wovon mindestens einer sich wiederum mit den psychischen Problemen des Beschwerdeführers und den Auswirkungen der unterirdischen Unterkunft darauf auseinandersetzte, nicht vorgeworfen werden, seiner Mitwirkungspflicht nicht nachgekommen zu sein. Somit lagen vorliegend diverse Hinweise auf eine schlechte Gesundheit des Beschwerdeführers vor, die nicht einfach unberücksichtigt bleiben dürfen. So hielt das Schreiben von Dr. med. J vom 21. Januar 2018 fest, dass sich der Allgemeinzustand des Beschwerdeführers verschlechtert habe und Hinweise auf eine (latente) Tuberkulosekrankheit bestünden. Die Vorinstanz geht in ihrem Entscheid davon aus, dass sich die Befürchtung einer hochansteckenden Tuberkuloseerkrankung nicht bewahrheitet habe. Auch wenn dies zutreffen mag – wie sich inzwischen herausgestellt hat, leidet der Beschwerdeführer gemäss eigenen Angaben an einer latenten Tuberkuloseinfektion – so wäre die Vorinstanz bei Zweifel an der Richtigkeit der medizinischen Berichte gehalten gewesen, (allenfalls unter Beizug eines Vertrauensarztes) abzuklären, inwiefern sich der psychische sowie physische Gesundheitszustand mit einer unterirdischen Unterbringung vereinbaren liesse. Das Verwaltungsgericht teilt die Zweifel des Beschwerdegegners sowie der Vorinstanz am schlechten Gesundheitszustand nicht; es liegen genügend ärztliche Berichte vor, welche den schlechten Gesundheitszustand und die negativen Auswirkungen der Unterbringung auf den Gesundheitszustand des Beschwerdeführers belegen. Sodann sind keine Verbesserungen im Gesundheitszustand des Beschwerdeführers seit der letzten gerichtlichen Beurteilung ersichtlich und werden vom Beschwerdegegner auch nicht behauptet. Es bestehen vorliegend genügend Hinweise darauf, dass es dem Beschwerdeführer aus medizinischen Gründen unzumutbar ist, sich in einer unterirdischen Unterkunft aufhalten zu müssen.</w:t>
      </w:r>
    </w:p>
    <w:p>
      <w:r>
        <w:rPr>
          <w:b/>
        </w:rPr>
        <w:t>E. 5.4.2</w:t>
      </w:r>
    </w:p>
    <w:p>
      <w:r>
        <w:t>Unter diesen Umständen ist davon auszugehen, dass die minimale Schwere, die für das Vorliegen einer Verletzung von Art. 3 EMRK verlangt wird, ohne Weiteres erreicht ist. Der Beschwerdegegner ist demzufolge in teilweiser Gutheissung der Beschwerde anzuweisen, den Beschwerdeführer in einer oberirdischen Unterkunft unterzubringen.</w:t>
      </w:r>
    </w:p>
    <w:p>
      <w:r>
        <w:rPr>
          <w:b/>
        </w:rPr>
        <w:t>E. 5.5</w:t>
      </w:r>
    </w:p>
    <w:p>
      <w:r>
        <w:t>Der Beschwerdeführer verlangt zusätzlich die Umteilung in eine Unterkunft ohne Massenschlag. In seiner Beschwerdebegründung geht er allerdings nicht weiter darauf ein, aus welchen Gründen sich ein Abweichen vom Grundsatz, dass die Unterbringung grundsätzlich in Gruppenunterkünften erfolgt, rechtfertigen würde (vgl. oben E. 3.1). Zudem stellte er diesen Antrag erstmals vor der Sicherheitsdirektion, womit ohnehin eine unzulässige Ausweitung des Streitgegenstands vorliegt; die Vorinstanz hätte nicht darauf einzutreten gehabt. Die Beschwerde ist in diesem Punkt abzuweisen.</w:t>
      </w:r>
    </w:p>
    <w:p>
      <w:r>
        <w:rPr>
          <w:b/>
        </w:rPr>
        <w:t>E. 6.1</w:t>
      </w:r>
    </w:p>
    <w:p>
      <w:r>
        <w:t>Zu beurteilen bleibt das Gesuch des Beschwerdeführers um Feststellung einer Rechtsverweigerung und Rechtsverzögerung. Der Beschwerdeführer bemängelt, dass die Vor­instanz während der Verfahrensdauer von 212 Tagen (rund 7 Monaten) seinen Antrag um vorsorgliche Massnahmen (Rekursantrag Nr. 7 und Nr. 10) nicht behandelt habe bzw. diesen im Endentscheid als gegenstandslos erklärt habe und so den Erlass eines Zwischenentscheids betreffend vorsorgliche Massnahmen verweigert bzw. verzögert habe.</w:t>
      </w:r>
    </w:p>
    <w:p>
      <w:r>
        <w:rPr>
          <w:b/>
        </w:rPr>
        <w:t>E. 6.2</w:t>
      </w:r>
    </w:p>
    <w:p>
      <w:r>
        <w:t>Die Parteien haben im Verfahren vor Gerichts- und Verwaltungsinstanzen Anspruch auf Beurteilung innert angemessener Frist (Art. 29 Abs. 1 BV; vgl. auch § 4a VRG). Der Zeitraum, der für die Beurteilung der Verfahrensdauer relevant ist, beginnt in Verwaltungssachen entweder mit der Einreichung eines entsprechenden Gesuchs bei der zuständigen Behörde oder mit der Rechtshängigkeit der Anfechtung einer Verfügung. Die angemessene Verfahrensdauer bestimmt sich zunächst anhand der im Einzelfall anwendbaren Verfahrensordnung. Bestehen keine gesetzlichen Behandlungsfristen, sind zur Bestimmung der Angemessenheit der Verfahrensdauer die konkreten Umstände des Einzelfalls zu berücksichtigen. Dabei wird vorab auf den Umfang und die Schwierigkeit des Falls, die Wichtigkeit der Angelegenheit für die Betroffenen, das Verhalten derselben und der Behörden sowie die für die Sache spezifischen Entscheidungsabläufe abgestellt. Insbesondere ist über vorsorgliche Massnahmen beförderlich zu befinden und hat die Behörde in einem vom Gesuchsteller als dringlich bezeichneten Gesuch um einstweilige Anordnung bestimmter Massnahmen innert kurzer Zeit zu entscheiden. Das Verbot der Rechtsverzögerung wird verletzt, wenn eine Gerichts- oder Verwaltungsbehörde untätig bleibt oder das gebotene Handeln über Gebühr hinauszögert, obwohl sie zur Vornahme verpflichtet wäre (BGE 135 I 265 E. 4.4; BGE 130 I 312 E. 5.2; VGr, 17. Juni 2016, VB.2015.00654, E. 3.1; 6. März 2014, VB.2014.00022, E. 3.1; Gerold Steinmann, Kommentar BV, Art. 29 N. 22 ff., mit Hinweisen).</w:t>
      </w:r>
    </w:p>
    <w:p>
      <w:r>
        <w:rPr>
          <w:b/>
        </w:rPr>
        <w:t>E. 6.2.1</w:t>
      </w:r>
    </w:p>
    <w:p>
      <w:r>
        <w:t>Für das Rekursverfahren vor der Sicherheitsdirektion konkretisiert § 27c VRG die Angemessenheit der Verfahrensdauer. Gemäss § 27c Abs. 1 VRG haben verwaltungsinterne Rekursinstanzen innert 60 Tagen seit Abschluss der Sachverhaltsermittlung zu entscheiden; dieser wird den Parteien angezeigt. Dabei handelt es sich indes um eine blosse Ordnungsfrist. Deren Überschreiten stellt nicht automatisch eine Rechtsverzögerung dar, vielmehr kommt es auf die Umstände des Einzelfalls an (Griffel, § 27c N. 19). Kann eine Rekursinstanz diese Frist nicht einhalten, teilt sie den Parteien unter Angabe der Gründe mit, wann der Entscheid vorliegt (§ 27c Abs. 2 VRG).</w:t>
      </w:r>
    </w:p>
    <w:p>
      <w:r>
        <w:rPr>
          <w:b/>
        </w:rPr>
        <w:t>E. 6.2.2</w:t>
      </w:r>
    </w:p>
    <w:p>
      <w:r>
        <w:t>Kommt die Rechtsmittelbehörde bei der materiellen Beurteilung zum Schluss, dass die Vorinstanz in der fraglichen Angelegenheit rechtswidrig überhaupt nicht oder nur verzögert tätig geworden ist, stellt sie dies fest und heisst gestützt auf diese Feststellung die Beschwerde gut; wenn der vorinstanzliche Entscheid noch aussteht, weist sie die Vorinstanz an, die Angelegenheit zu behandeln und mittels Anordnung zu erledigen bzw. das Verfahren beförderlich weiterzuführen (Plüss, § 4a N. 25; Martin Bertschi/Jürg Bosshart, Kommentar VRG, § 19 N. 53).</w:t>
      </w:r>
    </w:p>
    <w:p>
      <w:r>
        <w:rPr>
          <w:b/>
        </w:rPr>
        <w:t>E. 6.3</w:t>
      </w:r>
    </w:p>
    <w:p>
      <w:r>
        <w:t>Vorliegend ging die Rekursschrift des Beschwerdeführers am 30. Januar 2018 bei der Vorinstanz ein. Daraufhin lud der Chef der Rekursabteilung der Sicherheitsdirektion den Beschwerdegegner ein, bis zum 1. März 2018 sämtliche Akten zuzustellen und zum Rekurs Stellung zu nehmen. Innert Frist liess sich der Beschwerdegegner am 15. Februar 2018 vernehmen. Die Vorinstanz setzte dem Beschwerdeführer mit Schreiben vom 15. Februar 2018 eine Frist zur Stellungnahme bis zum 12. März 2018. Der Beschwerdeführer reichte am 27. Februar 2018 nochmals eine Stellungnahme inkl. Beilagen ein. Mit Schreiben vom 8. März 2018 verwies der Beschwerdegegner nochmals auf die Erwägungen der angefochtenen Verfügung und die Rekursantwort und verzichtete im Übrigen auf eine Duplik. Der Beschwerdeführer reichte am 3. April 2018 seine Honorarnote ein. Mit E-Mail vom 19. Juli 2018 erkundigte sich der Beschwerdeführer bei der Vorinstanz nach dem beabsichtigten Vorgehen, worauf die Vorinstanz per August 2018 einen Entscheidentwurf in Aussicht stellte. Am 29. August 2018 erging sodann der Rekursentscheid der Vorinstanz. Gemäss unbestritten gebliebenen Ausführungen des Beschwerdeführers habe er sich erstmals am 25. April 2018 bei der Kanzlei der Vorinstanz nach dem Verfahrensstand erkundigt. Sodann habe er am 18. Juni 2018 beim Chef der Rekursabteilung und am 16. Juli 2017 bei der zuständigen juristischen Sekretärin jeweils telefonisch interveniert.</w:t>
      </w:r>
    </w:p>
    <w:p>
      <w:r>
        <w:rPr>
          <w:b/>
        </w:rPr>
        <w:t>E. 6.4</w:t>
      </w:r>
    </w:p>
    <w:p>
      <w:r>
        <w:t>Zwar wies der Rekurs eine gewisse Komplexität auf, allerdings sind keine Gründe ersichtlich, weshalb nicht vorab über die vorsorglichen Massnahmen hätte entschieden werden können. Die Grundrechtsrelevanz der Ansprüche hätte vielmehr ein rasches Entscheiden erfordert. Weder hatte die Vorinstanz diesbezüglich prozessuale Handlungen vorzunehmen, noch tätigte sie weitere Sachverhaltsabklärungen. Gründe, die einer beförderlichen Behandlung des Gesuchs entgegenstanden, macht die Vorinstanz auch keine geltend. Die Behandlungsdauer erscheint angesichts dessen, dass bei Rekursverfahren innert 60 Tagen nach Abschluss der Sachverhaltsermittlungen ein Entscheid zu fällen wäre und es sich zudem beim als rechtsverzögernd behandelt gerügten Gesuch um ein solches um vorsorgliche Massnahmen im Kernbereich eines Grundrechts handelte, als zu lang. Damit liegt eine Verletzung des Rechtsverzögerungsverbots vor. Die Rechtsverzögerung ist vorliegend im Dispositiv festzustellen (vgl. BGE 138 II 513 E. 6.5).</w:t>
      </w:r>
    </w:p>
    <w:p>
      <w:r>
        <w:rPr>
          <w:b/>
        </w:rPr>
        <w:t>E. 6.5</w:t>
      </w:r>
    </w:p>
    <w:p>
      <w:r>
        <w:t>Dass die Vorinstanz allerdings nicht innert der vom Beschwerdeführer im Rekursantrag Nr. 10 angesetzten Frist entschieden hat, stellt keine Rechtsverweigerung dar, da es nicht am Beschwerdeführer ist, der Rekursinstanz Fristen zu setzen. Diesbezüglich ist die Beschwerde abzuweisen.</w:t>
      </w:r>
    </w:p>
    <w:p>
      <w:r>
        <w:rPr>
          <w:b/>
        </w:rPr>
        <w:t>E. 7.1</w:t>
      </w:r>
    </w:p>
    <w:p>
      <w:r>
        <w:t>Gemäss § 65a Abs. 2 in Verbindung mit § 13 Abs. 2 Satz 1 VRG tragen die Verfahrensbeteiligten die Kosten in der Regel entsprechend ihrem Unterliegen. Ergänzend zum Unterliegerprinzip kommt, unabhängig vom Ausgang des Verfahrens, das Verursacherprinzip zum Zug (Plüss, § 13 N. 59).</w:t>
      </w:r>
    </w:p>
    <w:p>
      <w:r>
        <w:rPr>
          <w:b/>
        </w:rPr>
        <w:t>E. 7.1.1</w:t>
      </w:r>
    </w:p>
    <w:p>
      <w:r>
        <w:t>Bei Verfahren ohne bestimmbaren Streitwert beträgt die Gerichtsgebühr in der Regel Fr. 1'000.- bis Fr. 50'000.- (§ 3 Abs. 3 der Gebührenordnung des Verwaltungsgerichts vom 23. August 2010 [GeV VGr]). In besonders aufwendigen Verfahren vor Verwaltungsgericht kann die Gerichtsgebühr verdoppelt werden (§ 4 Abs. 1 GebV VGr). Insofern ist die Gerichtsgebühr angesichts des besonderen Aufwands (u. a. separates Verfahren betreffend Ausstand, viele Begehren) und des Verursacherprinzips (schwerwiegende Gehörsverletzung durch die Vorinstanz sowie den Beschwerdegegner) auf Fr. 6'000.- festzusetzen (Plüss, § 13 N. 35, 40).</w:t>
      </w:r>
    </w:p>
    <w:p>
      <w:r>
        <w:rPr>
          <w:b/>
        </w:rPr>
        <w:t>E. 7.1.2</w:t>
      </w:r>
    </w:p>
    <w:p>
      <w:r>
        <w:t>Infolge der festgestellten Verletzung des Akteneinsichtsrechts sowie der Begründungspflicht und der festgestellten Rechtsverzögerung sind 2/7 der Kosten des vorliegenden Verfahrens der Sicherheitsdirektion aufzuerlegen.</w:t>
      </w:r>
    </w:p>
    <w:p>
      <w:r>
        <w:rPr>
          <w:b/>
        </w:rPr>
        <w:t>E. 7.1.3</w:t>
      </w:r>
    </w:p>
    <w:p>
      <w:r>
        <w:t>Der Beschwerdeführer obsiegt überwiegend. Angesichts der bloss teilweisen Gutheissung bzgl. der Ausrichtung von Nothilfe sowie der Abweisung und des Nichteintretens auf weitere Anträge rechtfertigt es sich, ihm 1/7 der Kosten des vorliegenden Verfahrens aufzuerlegen.</w:t>
      </w:r>
    </w:p>
    <w:p>
      <w:r>
        <w:rPr>
          <w:b/>
        </w:rPr>
        <w:t>E. 7.1.4</w:t>
      </w:r>
    </w:p>
    <w:p>
      <w:r>
        <w:t>Aufgrund des überwiegenden Unterliegens und der festgestellten Gehörsverletzung seitens des Beschwerdegegners sind ihm 4/7 der Kosten des Verfahrens aufzuerlegen.</w:t>
      </w:r>
    </w:p>
    <w:p>
      <w:r>
        <w:rPr>
          <w:b/>
        </w:rPr>
        <w:t>E. 7.2</w:t>
      </w:r>
    </w:p>
    <w:p>
      <w:r>
        <w:t>Aus demselben Grund steht dem Beschwerdeführer eine Parteientschädigung zu (§ 17 Abs. 2 lit. a VRG). Diese ist auf Fr. 2'500.- (zuzüglich 7,7 % MWST) festzusetzen. Da dem Beschwerdeführer die unentgeltliche Rechtsverbeiständung zu gewähren ist (unten E. 7.3), ist der Beschwerdegegner anzuweisen, die Parteientschädigung direkt an den Rechtsvertreter zu leisten (Plüss, § 17 N. 45).</w:t>
      </w:r>
    </w:p>
    <w:p>
      <w:r>
        <w:rPr>
          <w:b/>
        </w:rPr>
        <w:t>E. 7.2.1</w:t>
      </w:r>
    </w:p>
    <w:p>
      <w:r>
        <w:t>Desgleichen hat der Beschwerdegegner antragsgemäss auch für das Rekursverfahren eine angemessene Parteientschädigung von Fr. 1'000.- (zuzüglich 7,7 % MWST) zu bezahlen, welche – wie sich gleich zeigt – an die Entschädigung der unentgeltlichen Rechtsvertretung anzurechnen ist. Nachdem davon auszugehen ist, dass der unentgeltliche Rechtsbeistand des Beschwerdeführers von der Rekursinstanz bereits entschädigt wurde, ist der Beschwerdegegner zu verpflichten, die dem Vertreter des Beschwerdeführers eigentlich geschuldete Parteientschädigung für das Rekursverfahren der Sicherheitsdirektion zu leisten.</w:t>
      </w:r>
    </w:p>
    <w:p>
      <w:r>
        <w:rPr>
          <w:b/>
        </w:rPr>
        <w:t>E. 7.2.2</w:t>
      </w:r>
    </w:p>
    <w:p>
      <w:r>
        <w:t>Der Beschwerdeführer beantragt, dass ihm für die im Rekursverfahren gesprochene Entschädigung seines unentgeltlichen Rechtsvertreters lediglich eine Nachzahlung im Umfang von ¾ vorzubehalten sei. Dieser Antrag wird in der Beschwerdeschrift nur damit begründet, dass ein Nachzahlungsvorbehalt in vollem Umfang nicht nachvollziehbar sei. Die Anordnung hat jedoch ihre Grundlage in § 16 Abs. 4 VRG, und es ist kein Grund für eine Abweichung ersichtlich. Die Anordnung ist rechtmässig.</w:t>
      </w:r>
    </w:p>
    <w:p>
      <w:r>
        <w:rPr>
          <w:b/>
        </w:rPr>
        <w:t>E. 7.3</w:t>
      </w:r>
    </w:p>
    <w:p>
      <w:r>
        <w:t>Der Beschwerdeführer ersucht um die Gewährung der unentgeltlichen Prozessführung sowie Rechtsverbeiständung.</w:t>
      </w:r>
    </w:p>
    <w:p>
      <w:r>
        <w:rPr>
          <w:b/>
        </w:rPr>
        <w:t>E. 7.3.1</w:t>
      </w:r>
    </w:p>
    <w:p>
      <w:r>
        <w:t>Der Beschwerdeführer als Nothilfeempfänger ist als mittellos zu betrachten. Vorliegend ging es um nicht einfache Rechtsfragen, weshalb von der Notwendigkeit der Rechtsvertretung auszugehen ist. Demnach ist dem Beschwerdeführer für das verwaltungsgerichtliche Verfahren die unentgeltliche Prozessführung zu gewähren; die ihm aufzuerlegenden Gerichtskosten sind einstweilen auf die Gerichtskasse zu nehmen. Zudem ist ihm in der Person von RA B ein unentgeltlicher Rechtsbeistand zu bestellen.</w:t>
      </w:r>
    </w:p>
    <w:p>
      <w:r>
        <w:rPr>
          <w:b/>
        </w:rPr>
        <w:t>E. 7.3.2</w:t>
      </w:r>
    </w:p>
    <w:p>
      <w:r>
        <w:t>Gemäss § 9 Abs. 1 der Gebührenverordnung des Verwaltungsgerichts vom 23. August 2010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Der Stundenansatz beträgt gemäss § 3 der obergerichtlichen Verordnung über die Anwaltsgebühren vom 8. September 2010 (AnwGebV) für amtliche oder unentgeltliche Rechtsvertretungen Fr. 220.-.</w:t>
      </w:r>
    </w:p>
    <w:p>
      <w:r>
        <w:rPr>
          <w:b/>
        </w:rPr>
        <w:t>E. 7.3.3</w:t>
      </w:r>
    </w:p>
    <w:p>
      <w:r>
        <w:t>Der Vertreter des Beschwerdeführers macht in seiner Honorarnote einen Aufwand von 36,08 Stunden und Fr. 901.60 für Barauslagen geltend (insgesamt Fr. 8'839.93). Dieser Zeitaufwand erscheint – auch angesichts des eher aufwendigen Verfahrens – sehr hoch, ist doch jeweils nur der notwendige Zeitaufwand zu entschädigen (Plüss, § 16 N. 90). Unter den gegebenen Umständen erscheint ein Aufwand von acht Stunden für die Erstellung der Beschwerdeschrift, 2,5 Stunden für die Replik, 2,5 Stunden für die Stellungnahme vom 22. März 2019 sowie einer Stunde für die Stellungnahme vom 12. April 2019 angemessen. Der Aufwand (und auch die Portokosten) für nicht das Verfahren betreffende Schreiben, insbesondere dasjenige an die F AG vom 25. Januar 2019 wird nicht entschädigt. Für die Gesuche um Fristerstreckung erscheint jeweils ein Aufwand von maximal fünf Minuten angemessen zu sein. Weiter weist der Rechtsvertreter für die Kenntnisnahme des Rekursentscheids einen Aufwand von 30 Minuten aus, was zum Verfahrensaufwand des Rekursverfahrens gehört und dementsprechend dort geltend zu machen gewesen wäre. Der gesamte als angemessen erachtete Zeitbedarf ist somit auf 18,16 Stunden zu berechnen. Es ist zu beachten, dass das gewissenhafte Studium der Akten zweifellos zur sorgfältigen Berufsausübung von Rechtsanwältinnen und Rechtsanwälten gehört (Art. 12 lit. a des Bundesgesetzes über die Freizügigkeit der Anwältinnen und Anwälte vom 23. Juni 2000). Auch wenn im Prinzip jedes Aktenstück von einer gewissen Relevanz ist, müssen diese jedoch nicht zwingend über ein vollständiges Doppel des Dossiers verfügen. Vielmehr erweist sich – insbesondere bei umfangreichen Dossiers – nur das Kopieren der wesentlicheren Dokumente als angemessen. Die Rechtsvertreter und Rechtsvertreterinnen haben anlässlich der Akteneinsicht eine entsprechende Auswahl zu treffen, was ihnen in der Regel zuzumuten ist (VGr, 6. November 2014, VB.2014.00421, E. 4). Im vorliegenden Fall gilt dies umso mehr, als die Akten dem Rechtsvertreter zur Einsicht überlassen wurden und es ihm offengestanden hätte, um eine Verlängerung des Einsichtsrechts zu ersuchen sowie diese in späteren Stadien des Verfahrens erneut zur Einsicht zu verlangen. Demzufolge erscheint vorliegend das Anfertigen von insgesamt 1'652 Kopien, wovon 1'162 auf die vom Beschwerdegegner nachträglich eingereichten Akten entfallen, als übermässig. Angesichts des Umfangs der nachträglich eingereichten Akten wäre das Anfertigen von 300 Kopien gerade noch vertretbar gewesen. Dazu kommen 490 während des Verfahrens angefertigte Kopien. Demzufolge sind 790 Kopien zum geltend gemachten Satz von Fr. 0.50 zu entschädigen, was einem Betrag von Fr. 395.- entspricht. Entsprechend ist die Entschädigung des Rechtsvertreters des Beschwerdeführers, RA B, auf Fr. 3'995.20 für seinen Aufwand und Fr. 451.70 für Barauslagen, total auf Fr. 4'446.90 (zuzüglich 7,7 % Mehrwertsteuer), festzusetzen. Zusätzlich ist die Parteientschädigung daran anzurechnen.</w:t>
      </w:r>
    </w:p>
    <w:p>
      <w:r>
        <w:rPr>
          <w:b/>
        </w:rPr>
        <w:t>E. 7.3.4</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