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VB.2018.00550 vom 27. März 2019</w:t>
      </w:r>
    </w:p>
    <w:p>
      <w:r>
        <w:t>ZH Verwaltungsgericht, 2019-03-27, DE</w:t>
      </w:r>
    </w:p>
    <w:p>
      <w:r>
        <w:rPr>
          <w:b/>
        </w:rPr>
        <w:t xml:space="preserve">Quelle: </w:t>
      </w:r>
      <w:r>
        <w:t>https://mcp.opencaselaw.ch/entscheid/zh_verwaltungsgericht__VB.2018.00550</w:t>
      </w:r>
    </w:p>
    <w:p>
      <w:r>
        <w:t>FR: ZH_VERWALTUNGSGERICHT VB.2018.00550 du 27 mars 2019</w:t>
      </w:r>
    </w:p>
    <w:p>
      <w:r>
        <w:t>IT: ZH_VERWALTUNGSGERICHT VB.2018.00550 del 27 marzo 2019</w:t>
      </w:r>
    </w:p>
    <w:p>
      <w:pPr>
        <w:pStyle w:val="Heading2"/>
      </w:pPr>
      <w:r>
        <w:t>Regeste</w:t>
      </w:r>
    </w:p>
    <w:p>
      <w:r>
        <w:t>Verweigerung der nachträglichen Baubewilligung und Wiederherstellungsbefehl | Nachträgliche Baubewilligung: Umnutzung der Baustellenzufahrt als Hofzufahrt. Der Eigentümer eines Grundstücks im Perimeter eines Gestaltungsplans ist an die Festlegungen des Gestaltungsplans gebunden. Bei der Realisierung von Bauvorhaben bleibt dem Grundeigentümer nunmehr lediglich die Möglichkeit, nach dem zwingendes öffentliches Recht darstellenden Gestaltungsplan zu bauen. Die zuständigen Behörden haben (nur) zu prüfen, ob das Bauprojekt mit dem Gestaltungsplan und seinen Vorschriften übereinstimmt (E. 2.1). Die Vorschriften über die Landwirtschaftszone finden deshalb im Gestaltungplanbereich keine Anwendung (mehr), solange der private Gestaltungsplan in Kraft und das Gebiet der Erholungszone zugeteilt ist (E. 2.2). Die strittige Zufahrt ist im Gestaltungsplan nicht vorgesehen und liegt auch nicht innerhalb des Gestaltungsplanperimeters. Eine im Nichtbaugebiet liegende Erschliessungsstrasse widerspricht dem Zweck der Nutzungszone, wenn sie der Erschliessung von Parzellen in der Bauzone oder hier der Erholungszone dient (E. 2.3). Die Frage, ob eine Baute auf einen bestimmten Standort ausserhalb der Bauzone angewiesen ist, beurteilt sich nach objektiven Massstäben und Kriterien, wobei es weder auf die subjektiven Vorstellungen und Wünsche des Einzelnen noch auf die persönliche Zweckmässigkeit oder Bequemlichkeit ankommt. Eine über Annehmlichkeiten hinausgehende nachträgliche Notwendigkeit für eine nicht geplante zusätzliche rückwärtige Erschliessung des Betriebs über die Landwirtschaftszone ist nicht ersichtlich bzw. wäre auf eine nicht gestaltungsplangemässe Bautätigkeit oder Nutzung von erstellten Bauten und Anlagen zurückzuführen (E. 2.5). Die Wiederherstellung des rechtmässigen Zustands erweist sich als verhältnismässig (E. 2.7). Abweisung.</w:t>
      </w:r>
    </w:p>
    <w:p>
      <w:pPr>
        <w:pStyle w:val="Heading2"/>
      </w:pPr>
      <w:r>
        <w:t>Erwägungen</w:t>
      </w:r>
    </w:p>
    <w:p>
      <w:r>
        <w:rPr>
          <w:b/>
        </w:rPr>
        <w:t>E. 3</w:t>
      </w:r>
    </w:p>
    <w:p>
      <w:r>
        <w:t>Bei diesem Prozessausgang wird die Beschwerdeführerin kostenpflichtig (§ 65a Abs. 1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